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4377" w14:textId="77777777" w:rsidR="006D72F2" w:rsidRPr="00154024" w:rsidRDefault="00085830" w:rsidP="001E56B8">
      <w:pPr>
        <w:jc w:val="both"/>
        <w:rPr>
          <w:rFonts w:ascii="Times New Roman" w:hAnsi="Times New Roman" w:cs="Times New Roman"/>
        </w:rPr>
      </w:pPr>
    </w:p>
    <w:p w14:paraId="5879F463" w14:textId="77777777" w:rsidR="006909FE" w:rsidRPr="00154024" w:rsidRDefault="006909FE" w:rsidP="002A5BEE">
      <w:pPr>
        <w:pStyle w:val="NormalnyWeb"/>
        <w:shd w:val="clear" w:color="auto" w:fill="FFFFFF"/>
        <w:spacing w:before="60" w:beforeAutospacing="0" w:after="60" w:afterAutospacing="0" w:line="240" w:lineRule="auto"/>
        <w:jc w:val="center"/>
        <w:rPr>
          <w:rFonts w:ascii="Times New Roman" w:hAnsi="Times New Roman"/>
          <w:b/>
          <w:color w:val="auto"/>
          <w:sz w:val="36"/>
          <w:szCs w:val="36"/>
        </w:rPr>
      </w:pPr>
      <w:r w:rsidRPr="00154024">
        <w:rPr>
          <w:rFonts w:ascii="Times New Roman" w:hAnsi="Times New Roman"/>
          <w:b/>
          <w:color w:val="auto"/>
          <w:sz w:val="36"/>
          <w:szCs w:val="36"/>
        </w:rPr>
        <w:t>Program Operacyjny Wiedza Edukacja Rozwój</w:t>
      </w:r>
    </w:p>
    <w:p w14:paraId="59A150BB" w14:textId="77777777" w:rsidR="006909FE" w:rsidRPr="00154024" w:rsidRDefault="006F14F0" w:rsidP="002A5BEE">
      <w:pPr>
        <w:pStyle w:val="NormalnyWeb"/>
        <w:shd w:val="clear" w:color="auto" w:fill="FFFFFF"/>
        <w:spacing w:before="60" w:beforeAutospacing="0" w:after="60" w:afterAutospacing="0" w:line="240" w:lineRule="auto"/>
        <w:jc w:val="center"/>
        <w:rPr>
          <w:rFonts w:ascii="Times New Roman" w:hAnsi="Times New Roman"/>
          <w:b/>
          <w:color w:val="auto"/>
          <w:sz w:val="36"/>
          <w:szCs w:val="36"/>
        </w:rPr>
      </w:pPr>
      <w:r w:rsidRPr="00154024">
        <w:rPr>
          <w:rFonts w:ascii="Times New Roman" w:hAnsi="Times New Roman"/>
          <w:b/>
          <w:color w:val="auto"/>
          <w:sz w:val="36"/>
          <w:szCs w:val="36"/>
        </w:rPr>
        <w:t xml:space="preserve">Działanie </w:t>
      </w:r>
      <w:r w:rsidR="006909FE" w:rsidRPr="00154024">
        <w:rPr>
          <w:rFonts w:ascii="Times New Roman" w:hAnsi="Times New Roman"/>
          <w:b/>
          <w:color w:val="auto"/>
          <w:sz w:val="36"/>
          <w:szCs w:val="36"/>
        </w:rPr>
        <w:t>2.</w:t>
      </w:r>
      <w:r w:rsidR="00302D79" w:rsidRPr="00154024">
        <w:rPr>
          <w:rFonts w:ascii="Times New Roman" w:hAnsi="Times New Roman"/>
          <w:b/>
          <w:color w:val="auto"/>
          <w:sz w:val="36"/>
          <w:szCs w:val="36"/>
        </w:rPr>
        <w:t>12, Sektorowe Rady ds. Kompetencji</w:t>
      </w:r>
    </w:p>
    <w:p w14:paraId="1CA2FCD0" w14:textId="77777777" w:rsidR="006909FE" w:rsidRPr="00154024" w:rsidRDefault="006909FE" w:rsidP="001E56B8">
      <w:pPr>
        <w:pStyle w:val="NormalnyWeb"/>
        <w:shd w:val="clear" w:color="auto" w:fill="FFFFFF"/>
        <w:spacing w:before="60" w:beforeAutospacing="0" w:after="60" w:afterAutospacing="0" w:line="240" w:lineRule="auto"/>
        <w:jc w:val="both"/>
        <w:rPr>
          <w:rStyle w:val="Pogrubienie"/>
          <w:rFonts w:ascii="Times New Roman" w:hAnsi="Times New Roman"/>
          <w:color w:val="auto"/>
          <w:sz w:val="24"/>
          <w:szCs w:val="24"/>
        </w:rPr>
      </w:pPr>
      <w:bookmarkStart w:id="0" w:name="spis_tresci"/>
    </w:p>
    <w:p w14:paraId="33C97A1A" w14:textId="77777777" w:rsidR="006909FE" w:rsidRPr="00154024" w:rsidRDefault="006909FE" w:rsidP="001E56B8">
      <w:pPr>
        <w:pStyle w:val="NormalnyWeb"/>
        <w:shd w:val="clear" w:color="auto" w:fill="FFFFFF"/>
        <w:spacing w:before="60" w:beforeAutospacing="0" w:after="60" w:afterAutospacing="0" w:line="240" w:lineRule="auto"/>
        <w:jc w:val="both"/>
        <w:rPr>
          <w:rStyle w:val="Pogrubienie"/>
          <w:rFonts w:ascii="Times New Roman" w:hAnsi="Times New Roman"/>
          <w:color w:val="auto"/>
          <w:sz w:val="24"/>
          <w:szCs w:val="24"/>
        </w:rPr>
      </w:pPr>
    </w:p>
    <w:p w14:paraId="535DF64F" w14:textId="2E1D2AEF" w:rsidR="001E56B8" w:rsidRPr="00154024" w:rsidRDefault="002F4225" w:rsidP="001E56B8">
      <w:pPr>
        <w:pStyle w:val="NormalnyWeb"/>
        <w:shd w:val="clear" w:color="auto" w:fill="FFFFFF"/>
        <w:spacing w:before="60" w:beforeAutospacing="0" w:after="60" w:afterAutospacing="0" w:line="240" w:lineRule="auto"/>
        <w:jc w:val="both"/>
        <w:rPr>
          <w:rStyle w:val="Pogrubienie"/>
          <w:rFonts w:ascii="Times New Roman" w:hAnsi="Times New Roman"/>
          <w:color w:val="auto"/>
          <w:sz w:val="24"/>
          <w:szCs w:val="24"/>
        </w:rPr>
      </w:pPr>
      <w:r w:rsidRPr="00154024">
        <w:rPr>
          <w:rStyle w:val="Pogrubienie"/>
          <w:rFonts w:ascii="Times New Roman" w:hAnsi="Times New Roman"/>
          <w:color w:val="auto"/>
          <w:sz w:val="24"/>
          <w:szCs w:val="24"/>
        </w:rPr>
        <w:t xml:space="preserve">Odpowiedzi na pytania </w:t>
      </w:r>
      <w:bookmarkStart w:id="1" w:name="_Toc442363761"/>
      <w:bookmarkEnd w:id="0"/>
      <w:r w:rsidRPr="00154024">
        <w:rPr>
          <w:rStyle w:val="Pogrubienie"/>
          <w:rFonts w:ascii="Times New Roman" w:hAnsi="Times New Roman"/>
          <w:color w:val="auto"/>
          <w:sz w:val="24"/>
          <w:szCs w:val="24"/>
        </w:rPr>
        <w:t xml:space="preserve">zadane </w:t>
      </w:r>
      <w:r w:rsidR="006F14F0" w:rsidRPr="00154024">
        <w:rPr>
          <w:rStyle w:val="Pogrubienie"/>
          <w:rFonts w:ascii="Times New Roman" w:hAnsi="Times New Roman"/>
          <w:color w:val="auto"/>
          <w:sz w:val="24"/>
          <w:szCs w:val="24"/>
        </w:rPr>
        <w:t xml:space="preserve">w okresie od </w:t>
      </w:r>
      <w:r w:rsidR="00836D5D" w:rsidRPr="00154024">
        <w:rPr>
          <w:rStyle w:val="Pogrubienie"/>
          <w:rFonts w:ascii="Times New Roman" w:hAnsi="Times New Roman"/>
          <w:color w:val="auto"/>
          <w:sz w:val="24"/>
          <w:szCs w:val="24"/>
        </w:rPr>
        <w:t>25</w:t>
      </w:r>
      <w:r w:rsidR="00302D79" w:rsidRPr="00154024">
        <w:rPr>
          <w:rStyle w:val="Pogrubienie"/>
          <w:rFonts w:ascii="Times New Roman" w:hAnsi="Times New Roman"/>
          <w:color w:val="auto"/>
          <w:sz w:val="24"/>
          <w:szCs w:val="24"/>
        </w:rPr>
        <w:t>.0</w:t>
      </w:r>
      <w:r w:rsidR="00D73CAD" w:rsidRPr="00154024">
        <w:rPr>
          <w:rStyle w:val="Pogrubienie"/>
          <w:rFonts w:ascii="Times New Roman" w:hAnsi="Times New Roman"/>
          <w:color w:val="auto"/>
          <w:sz w:val="24"/>
          <w:szCs w:val="24"/>
        </w:rPr>
        <w:t>4</w:t>
      </w:r>
      <w:r w:rsidR="00302D79" w:rsidRPr="00154024">
        <w:rPr>
          <w:rStyle w:val="Pogrubienie"/>
          <w:rFonts w:ascii="Times New Roman" w:hAnsi="Times New Roman"/>
          <w:color w:val="auto"/>
          <w:sz w:val="24"/>
          <w:szCs w:val="24"/>
        </w:rPr>
        <w:t>.2016</w:t>
      </w:r>
      <w:r w:rsidR="006F14F0" w:rsidRPr="00154024">
        <w:rPr>
          <w:rStyle w:val="Pogrubienie"/>
          <w:rFonts w:ascii="Times New Roman" w:hAnsi="Times New Roman"/>
          <w:color w:val="auto"/>
          <w:sz w:val="24"/>
          <w:szCs w:val="24"/>
        </w:rPr>
        <w:t xml:space="preserve"> </w:t>
      </w:r>
      <w:proofErr w:type="gramStart"/>
      <w:r w:rsidR="006F14F0" w:rsidRPr="00154024">
        <w:rPr>
          <w:rStyle w:val="Pogrubienie"/>
          <w:rFonts w:ascii="Times New Roman" w:hAnsi="Times New Roman"/>
          <w:color w:val="auto"/>
          <w:sz w:val="24"/>
          <w:szCs w:val="24"/>
        </w:rPr>
        <w:t>do</w:t>
      </w:r>
      <w:proofErr w:type="gramEnd"/>
      <w:r w:rsidR="006F14F0" w:rsidRPr="00154024">
        <w:rPr>
          <w:rStyle w:val="Pogrubienie"/>
          <w:rFonts w:ascii="Times New Roman" w:hAnsi="Times New Roman"/>
          <w:color w:val="auto"/>
          <w:sz w:val="24"/>
          <w:szCs w:val="24"/>
        </w:rPr>
        <w:t xml:space="preserve"> </w:t>
      </w:r>
      <w:r w:rsidR="00836D5D" w:rsidRPr="00154024">
        <w:rPr>
          <w:rStyle w:val="Pogrubienie"/>
          <w:rFonts w:ascii="Times New Roman" w:hAnsi="Times New Roman"/>
          <w:color w:val="auto"/>
          <w:sz w:val="24"/>
          <w:szCs w:val="24"/>
        </w:rPr>
        <w:t>29</w:t>
      </w:r>
      <w:r w:rsidR="00D102E9" w:rsidRPr="00154024">
        <w:rPr>
          <w:rStyle w:val="Pogrubienie"/>
          <w:rFonts w:ascii="Times New Roman" w:hAnsi="Times New Roman"/>
          <w:color w:val="auto"/>
          <w:sz w:val="24"/>
          <w:szCs w:val="24"/>
        </w:rPr>
        <w:t>.0</w:t>
      </w:r>
      <w:r w:rsidR="00D73CAD" w:rsidRPr="00154024">
        <w:rPr>
          <w:rStyle w:val="Pogrubienie"/>
          <w:rFonts w:ascii="Times New Roman" w:hAnsi="Times New Roman"/>
          <w:color w:val="auto"/>
          <w:sz w:val="24"/>
          <w:szCs w:val="24"/>
        </w:rPr>
        <w:t>4</w:t>
      </w:r>
      <w:r w:rsidR="00D102E9" w:rsidRPr="00154024">
        <w:rPr>
          <w:rStyle w:val="Pogrubienie"/>
          <w:rFonts w:ascii="Times New Roman" w:hAnsi="Times New Roman"/>
          <w:color w:val="auto"/>
          <w:sz w:val="24"/>
          <w:szCs w:val="24"/>
        </w:rPr>
        <w:t>.</w:t>
      </w:r>
      <w:r w:rsidR="00302D79" w:rsidRPr="00154024">
        <w:rPr>
          <w:rStyle w:val="Pogrubienie"/>
          <w:rFonts w:ascii="Times New Roman" w:hAnsi="Times New Roman"/>
          <w:color w:val="auto"/>
          <w:sz w:val="24"/>
          <w:szCs w:val="24"/>
        </w:rPr>
        <w:t xml:space="preserve">2016 </w:t>
      </w:r>
      <w:proofErr w:type="gramStart"/>
      <w:r w:rsidR="00302D79" w:rsidRPr="00154024">
        <w:rPr>
          <w:rStyle w:val="Pogrubienie"/>
          <w:rFonts w:ascii="Times New Roman" w:hAnsi="Times New Roman"/>
          <w:color w:val="auto"/>
          <w:sz w:val="24"/>
          <w:szCs w:val="24"/>
        </w:rPr>
        <w:t>r</w:t>
      </w:r>
      <w:proofErr w:type="gramEnd"/>
      <w:r w:rsidR="00302D79" w:rsidRPr="00154024">
        <w:rPr>
          <w:rStyle w:val="Pogrubienie"/>
          <w:rFonts w:ascii="Times New Roman" w:hAnsi="Times New Roman"/>
          <w:color w:val="auto"/>
          <w:sz w:val="24"/>
          <w:szCs w:val="24"/>
        </w:rPr>
        <w:t>.</w:t>
      </w:r>
    </w:p>
    <w:bookmarkEnd w:id="1"/>
    <w:p w14:paraId="56BF1DBF" w14:textId="77777777" w:rsidR="006909FE" w:rsidRPr="00154024" w:rsidRDefault="006909FE" w:rsidP="001E56B8">
      <w:pPr>
        <w:pStyle w:val="NormalnyWeb"/>
        <w:shd w:val="clear" w:color="auto" w:fill="FFFFFF"/>
        <w:spacing w:before="60" w:beforeAutospacing="0" w:after="60" w:afterAutospacing="0" w:line="240" w:lineRule="auto"/>
        <w:jc w:val="both"/>
        <w:rPr>
          <w:rStyle w:val="Pogrubienie"/>
          <w:rFonts w:ascii="Times New Roman" w:hAnsi="Times New Roman"/>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352"/>
      </w:tblGrid>
      <w:tr w:rsidR="00154024" w:rsidRPr="00154024" w14:paraId="4FCFB0A4" w14:textId="77777777" w:rsidTr="001E56B8">
        <w:trPr>
          <w:cantSplit/>
          <w:trHeight w:val="422"/>
        </w:trPr>
        <w:tc>
          <w:tcPr>
            <w:tcW w:w="1708" w:type="dxa"/>
            <w:vMerge w:val="restart"/>
          </w:tcPr>
          <w:p w14:paraId="3446DD3F" w14:textId="458E033C" w:rsidR="006909FE" w:rsidRPr="00154024" w:rsidRDefault="00836D5D" w:rsidP="00FA7279">
            <w:pPr>
              <w:spacing w:before="60" w:after="60" w:line="240" w:lineRule="auto"/>
              <w:jc w:val="both"/>
              <w:rPr>
                <w:rFonts w:ascii="Times New Roman" w:hAnsi="Times New Roman" w:cs="Times New Roman"/>
                <w:sz w:val="24"/>
                <w:szCs w:val="24"/>
              </w:rPr>
            </w:pPr>
            <w:r w:rsidRPr="00154024">
              <w:rPr>
                <w:rFonts w:ascii="Times New Roman" w:hAnsi="Times New Roman" w:cs="Times New Roman"/>
                <w:sz w:val="24"/>
                <w:szCs w:val="24"/>
              </w:rPr>
              <w:t>Pytanie 29</w:t>
            </w:r>
          </w:p>
          <w:p w14:paraId="7CE51B8C" w14:textId="59E42BCF" w:rsidR="00314CCC" w:rsidRPr="00154024" w:rsidRDefault="00314CCC" w:rsidP="00836D5D">
            <w:pPr>
              <w:spacing w:before="60" w:after="60" w:line="240" w:lineRule="auto"/>
              <w:jc w:val="both"/>
              <w:rPr>
                <w:rFonts w:ascii="Times New Roman" w:hAnsi="Times New Roman" w:cs="Times New Roman"/>
                <w:sz w:val="24"/>
                <w:szCs w:val="24"/>
              </w:rPr>
            </w:pPr>
            <w:r w:rsidRPr="00154024">
              <w:rPr>
                <w:rFonts w:ascii="Times New Roman" w:hAnsi="Times New Roman" w:cs="Times New Roman"/>
                <w:sz w:val="24"/>
                <w:szCs w:val="24"/>
              </w:rPr>
              <w:t>(</w:t>
            </w:r>
            <w:r w:rsidR="00836D5D" w:rsidRPr="00154024">
              <w:rPr>
                <w:rFonts w:ascii="Times New Roman" w:hAnsi="Times New Roman" w:cs="Times New Roman"/>
                <w:sz w:val="24"/>
                <w:szCs w:val="24"/>
              </w:rPr>
              <w:t>deklaracja współpracy a list intencyjny</w:t>
            </w:r>
            <w:r w:rsidRPr="00154024">
              <w:rPr>
                <w:rFonts w:ascii="Times New Roman" w:hAnsi="Times New Roman" w:cs="Times New Roman"/>
                <w:sz w:val="24"/>
                <w:szCs w:val="24"/>
              </w:rPr>
              <w:t>)</w:t>
            </w:r>
          </w:p>
        </w:tc>
        <w:tc>
          <w:tcPr>
            <w:tcW w:w="7354" w:type="dxa"/>
          </w:tcPr>
          <w:p w14:paraId="18F37B58" w14:textId="3D4751C0" w:rsidR="006B2BE6" w:rsidRPr="00154024" w:rsidRDefault="00836D5D" w:rsidP="00D73CAD">
            <w:pPr>
              <w:jc w:val="both"/>
              <w:rPr>
                <w:rFonts w:ascii="Times New Roman" w:hAnsi="Times New Roman" w:cs="Times New Roman"/>
                <w:sz w:val="24"/>
                <w:szCs w:val="24"/>
              </w:rPr>
            </w:pPr>
            <w:r w:rsidRPr="00154024">
              <w:rPr>
                <w:rFonts w:ascii="Times New Roman" w:hAnsi="Times New Roman" w:cs="Times New Roman"/>
                <w:sz w:val="24"/>
                <w:szCs w:val="24"/>
              </w:rPr>
              <w:t>Chciałabym zapytać o kwestie dotyczące ewentualnych różnic pomiędzy wymaganymi na etapie badania kryterium dostępu deklaracjami współpracy od poszczególnych instytucji a punktowanymi w kryteriach strategicznych listami intencyjnymi. Z założenia listy intencyjne są dokumentem, w którym podmioty deklarują chęć współpracy w określonych dziedzinach etc. stąd pytanie o zasadność tego kryterium strategicznego?</w:t>
            </w:r>
          </w:p>
        </w:tc>
      </w:tr>
      <w:tr w:rsidR="006909FE" w:rsidRPr="00154024" w14:paraId="6881ED10" w14:textId="77777777" w:rsidTr="001E56B8">
        <w:trPr>
          <w:cantSplit/>
          <w:trHeight w:val="1265"/>
        </w:trPr>
        <w:tc>
          <w:tcPr>
            <w:tcW w:w="1708" w:type="dxa"/>
            <w:vMerge/>
          </w:tcPr>
          <w:p w14:paraId="6DB85CF7" w14:textId="77777777" w:rsidR="006909FE" w:rsidRPr="00154024" w:rsidRDefault="006909FE" w:rsidP="006F1E0F">
            <w:pPr>
              <w:spacing w:before="60" w:after="60" w:line="240" w:lineRule="auto"/>
              <w:jc w:val="both"/>
              <w:rPr>
                <w:rFonts w:ascii="Times New Roman" w:hAnsi="Times New Roman" w:cs="Times New Roman"/>
                <w:sz w:val="24"/>
                <w:szCs w:val="24"/>
              </w:rPr>
            </w:pPr>
          </w:p>
        </w:tc>
        <w:tc>
          <w:tcPr>
            <w:tcW w:w="7354" w:type="dxa"/>
          </w:tcPr>
          <w:p w14:paraId="6A4533C1" w14:textId="4675CBA3" w:rsidR="00836D5D" w:rsidRPr="00154024" w:rsidRDefault="00836D5D" w:rsidP="00836D5D">
            <w:pPr>
              <w:spacing w:before="60" w:after="60" w:line="240" w:lineRule="auto"/>
              <w:jc w:val="both"/>
              <w:rPr>
                <w:rFonts w:ascii="Times New Roman" w:hAnsi="Times New Roman" w:cs="Times New Roman"/>
                <w:sz w:val="24"/>
                <w:szCs w:val="24"/>
              </w:rPr>
            </w:pPr>
            <w:r w:rsidRPr="00154024">
              <w:rPr>
                <w:rFonts w:ascii="Times New Roman" w:hAnsi="Times New Roman" w:cs="Times New Roman"/>
                <w:sz w:val="24"/>
                <w:szCs w:val="24"/>
              </w:rPr>
              <w:t xml:space="preserve">Zgodnie z zapisami Załącznika nr 11 do Regulaminu konkursu kryterium dostępu nr 12 będzie oceniane na podstawie (…) deklaracji współpracy przygotowanych wg wzoru stanowiącego Załącznik nr 15 do Regulaminu, podpisanych przez osoby upoważnione do reprezentowania podmiotów, które </w:t>
            </w:r>
            <w:r w:rsidRPr="00154024">
              <w:rPr>
                <w:rFonts w:ascii="Times New Roman" w:hAnsi="Times New Roman" w:cs="Times New Roman"/>
                <w:b/>
                <w:sz w:val="24"/>
                <w:szCs w:val="24"/>
              </w:rPr>
              <w:t xml:space="preserve">służą zadeklarowaniu przed dany podmiot gotowości i chęci współpracy na rzecz </w:t>
            </w:r>
            <w:proofErr w:type="gramStart"/>
            <w:r w:rsidRPr="00154024">
              <w:rPr>
                <w:rFonts w:ascii="Times New Roman" w:hAnsi="Times New Roman" w:cs="Times New Roman"/>
                <w:b/>
                <w:sz w:val="24"/>
                <w:szCs w:val="24"/>
              </w:rPr>
              <w:t>Sektora</w:t>
            </w:r>
            <w:r w:rsidRPr="00154024">
              <w:rPr>
                <w:rFonts w:ascii="Times New Roman" w:hAnsi="Times New Roman" w:cs="Times New Roman"/>
                <w:sz w:val="24"/>
                <w:szCs w:val="24"/>
              </w:rPr>
              <w:t xml:space="preserve"> jako</w:t>
            </w:r>
            <w:proofErr w:type="gramEnd"/>
            <w:r w:rsidRPr="00154024">
              <w:rPr>
                <w:rFonts w:ascii="Times New Roman" w:hAnsi="Times New Roman" w:cs="Times New Roman"/>
                <w:sz w:val="24"/>
                <w:szCs w:val="24"/>
              </w:rPr>
              <w:t xml:space="preserve"> członek ww. Rady ds. Kompetencji. Z kolei kryterium strategiczne nr 5, 6, 7 będzie oceniane na podstawie złożonych wraz z wnioskiem o dofinansowanie listów intencyjnych odpowiednio od jednostek edukacji formalnej lub pozaformalnej (innych niż Wnioskodawca i </w:t>
            </w:r>
            <w:proofErr w:type="gramStart"/>
            <w:r w:rsidRPr="00154024">
              <w:rPr>
                <w:rFonts w:ascii="Times New Roman" w:hAnsi="Times New Roman" w:cs="Times New Roman"/>
                <w:sz w:val="24"/>
                <w:szCs w:val="24"/>
              </w:rPr>
              <w:t>partnerzy – jeśli</w:t>
            </w:r>
            <w:proofErr w:type="gramEnd"/>
            <w:r w:rsidRPr="00154024">
              <w:rPr>
                <w:rFonts w:ascii="Times New Roman" w:hAnsi="Times New Roman" w:cs="Times New Roman"/>
                <w:sz w:val="24"/>
                <w:szCs w:val="24"/>
              </w:rPr>
              <w:t xml:space="preserve"> dotyczy), instytucji administracji publicznej pełniących funkcję nadzoru lub regulacyjną dla sektora, Rady Rynku Pracy lub Wojewódzkiej Rady Rynku Pracy/Wojewódzkiej Rady Zatrudnienia lub organizacji, o której mowa w ustawie o Radzie Dialogu Społecznego i innych instytucjach dialogu społecznego. Każdy list intencyjny </w:t>
            </w:r>
            <w:r w:rsidR="0063761E">
              <w:rPr>
                <w:rFonts w:ascii="Times New Roman" w:hAnsi="Times New Roman" w:cs="Times New Roman"/>
                <w:sz w:val="24"/>
                <w:szCs w:val="24"/>
              </w:rPr>
              <w:t>powinien</w:t>
            </w:r>
            <w:r w:rsidRPr="00154024">
              <w:rPr>
                <w:rFonts w:ascii="Times New Roman" w:hAnsi="Times New Roman" w:cs="Times New Roman"/>
                <w:sz w:val="24"/>
                <w:szCs w:val="24"/>
              </w:rPr>
              <w:t xml:space="preserve"> zawierać </w:t>
            </w:r>
            <w:r w:rsidR="0063761E">
              <w:rPr>
                <w:rFonts w:ascii="Times New Roman" w:hAnsi="Times New Roman" w:cs="Times New Roman"/>
                <w:sz w:val="24"/>
                <w:szCs w:val="24"/>
              </w:rPr>
              <w:t xml:space="preserve">w szczególności </w:t>
            </w:r>
            <w:r w:rsidRPr="00154024">
              <w:rPr>
                <w:rFonts w:ascii="Times New Roman" w:hAnsi="Times New Roman" w:cs="Times New Roman"/>
                <w:sz w:val="24"/>
                <w:szCs w:val="24"/>
              </w:rPr>
              <w:t>następujące elementy:</w:t>
            </w:r>
          </w:p>
          <w:p w14:paraId="7BDF5A23" w14:textId="2BD1E55E" w:rsidR="00836D5D" w:rsidRPr="00154024" w:rsidRDefault="00836D5D" w:rsidP="00836D5D">
            <w:pPr>
              <w:pStyle w:val="Akapitzlist"/>
              <w:numPr>
                <w:ilvl w:val="0"/>
                <w:numId w:val="43"/>
              </w:numPr>
              <w:spacing w:before="60" w:after="60" w:line="240" w:lineRule="auto"/>
              <w:jc w:val="both"/>
              <w:rPr>
                <w:rFonts w:ascii="Times New Roman" w:hAnsi="Times New Roman"/>
                <w:sz w:val="24"/>
                <w:szCs w:val="24"/>
              </w:rPr>
            </w:pPr>
            <w:proofErr w:type="gramStart"/>
            <w:r w:rsidRPr="00154024">
              <w:rPr>
                <w:rFonts w:ascii="Times New Roman" w:hAnsi="Times New Roman"/>
                <w:sz w:val="24"/>
                <w:szCs w:val="24"/>
              </w:rPr>
              <w:t>dane</w:t>
            </w:r>
            <w:proofErr w:type="gramEnd"/>
            <w:r w:rsidRPr="00154024">
              <w:rPr>
                <w:rFonts w:ascii="Times New Roman" w:hAnsi="Times New Roman"/>
                <w:sz w:val="24"/>
                <w:szCs w:val="24"/>
              </w:rPr>
              <w:t xml:space="preserve"> organizacji wystawiającej list intencyjny;</w:t>
            </w:r>
          </w:p>
          <w:p w14:paraId="4291F304" w14:textId="7E1F17A1" w:rsidR="00836D5D" w:rsidRPr="00154024" w:rsidRDefault="00836D5D" w:rsidP="00836D5D">
            <w:pPr>
              <w:pStyle w:val="Akapitzlist"/>
              <w:numPr>
                <w:ilvl w:val="0"/>
                <w:numId w:val="43"/>
              </w:numPr>
              <w:spacing w:before="60" w:after="60" w:line="240" w:lineRule="auto"/>
              <w:jc w:val="both"/>
              <w:rPr>
                <w:rFonts w:ascii="Times New Roman" w:hAnsi="Times New Roman"/>
                <w:sz w:val="24"/>
                <w:szCs w:val="24"/>
              </w:rPr>
            </w:pPr>
            <w:proofErr w:type="gramStart"/>
            <w:r w:rsidRPr="00154024">
              <w:rPr>
                <w:rFonts w:ascii="Times New Roman" w:hAnsi="Times New Roman"/>
                <w:sz w:val="24"/>
                <w:szCs w:val="24"/>
              </w:rPr>
              <w:t>wskazanie</w:t>
            </w:r>
            <w:proofErr w:type="gramEnd"/>
            <w:r w:rsidRPr="00154024">
              <w:rPr>
                <w:rFonts w:ascii="Times New Roman" w:hAnsi="Times New Roman"/>
                <w:sz w:val="24"/>
                <w:szCs w:val="24"/>
              </w:rPr>
              <w:t>, że dotyczy wnioskodawcy i/lub partnerów zgłaszających projekt do konkursu na utworzenie Rady Sektorowej ds. Kompetencji;</w:t>
            </w:r>
          </w:p>
          <w:p w14:paraId="7424B57E" w14:textId="3B131753" w:rsidR="00836D5D" w:rsidRPr="00154024" w:rsidRDefault="00836D5D" w:rsidP="00836D5D">
            <w:pPr>
              <w:pStyle w:val="Akapitzlist"/>
              <w:numPr>
                <w:ilvl w:val="0"/>
                <w:numId w:val="43"/>
              </w:numPr>
              <w:spacing w:before="60" w:after="60" w:line="240" w:lineRule="auto"/>
              <w:jc w:val="both"/>
              <w:rPr>
                <w:rFonts w:ascii="Times New Roman" w:hAnsi="Times New Roman"/>
                <w:sz w:val="24"/>
                <w:szCs w:val="24"/>
              </w:rPr>
            </w:pPr>
            <w:r w:rsidRPr="00154024">
              <w:rPr>
                <w:rFonts w:ascii="Times New Roman" w:hAnsi="Times New Roman"/>
                <w:sz w:val="24"/>
                <w:szCs w:val="24"/>
              </w:rPr>
              <w:t>zakres</w:t>
            </w:r>
            <w:r w:rsidR="0078163D">
              <w:rPr>
                <w:rFonts w:ascii="Times New Roman" w:hAnsi="Times New Roman"/>
                <w:sz w:val="24"/>
                <w:szCs w:val="24"/>
              </w:rPr>
              <w:t xml:space="preserve"> współpracy</w:t>
            </w:r>
            <w:r w:rsidRPr="00154024">
              <w:rPr>
                <w:rFonts w:ascii="Times New Roman" w:hAnsi="Times New Roman"/>
                <w:sz w:val="24"/>
                <w:szCs w:val="24"/>
              </w:rPr>
              <w:t>;</w:t>
            </w:r>
          </w:p>
          <w:p w14:paraId="3F53A932" w14:textId="7A5A743F" w:rsidR="00836D5D" w:rsidRPr="00154024" w:rsidRDefault="00836D5D" w:rsidP="00836D5D">
            <w:pPr>
              <w:pStyle w:val="Akapitzlist"/>
              <w:numPr>
                <w:ilvl w:val="0"/>
                <w:numId w:val="43"/>
              </w:numPr>
              <w:spacing w:before="60" w:after="60" w:line="240" w:lineRule="auto"/>
              <w:jc w:val="both"/>
              <w:rPr>
                <w:rFonts w:ascii="Times New Roman" w:hAnsi="Times New Roman"/>
                <w:sz w:val="24"/>
                <w:szCs w:val="24"/>
              </w:rPr>
            </w:pPr>
            <w:proofErr w:type="gramStart"/>
            <w:r w:rsidRPr="00154024">
              <w:rPr>
                <w:rFonts w:ascii="Times New Roman" w:hAnsi="Times New Roman"/>
                <w:sz w:val="24"/>
                <w:szCs w:val="24"/>
              </w:rPr>
              <w:t>datę</w:t>
            </w:r>
            <w:proofErr w:type="gramEnd"/>
            <w:r w:rsidRPr="00154024">
              <w:rPr>
                <w:rFonts w:ascii="Times New Roman" w:hAnsi="Times New Roman"/>
                <w:sz w:val="24"/>
                <w:szCs w:val="24"/>
              </w:rPr>
              <w:t>;</w:t>
            </w:r>
          </w:p>
          <w:p w14:paraId="1B00DCD9" w14:textId="77777777" w:rsidR="006909FE" w:rsidRDefault="00836D5D" w:rsidP="00836D5D">
            <w:pPr>
              <w:pStyle w:val="Akapitzlist"/>
              <w:numPr>
                <w:ilvl w:val="0"/>
                <w:numId w:val="43"/>
              </w:numPr>
              <w:spacing w:after="120" w:line="240" w:lineRule="auto"/>
              <w:jc w:val="both"/>
              <w:rPr>
                <w:rFonts w:ascii="Times New Roman" w:hAnsi="Times New Roman"/>
                <w:sz w:val="24"/>
                <w:szCs w:val="24"/>
              </w:rPr>
            </w:pPr>
            <w:proofErr w:type="gramStart"/>
            <w:r w:rsidRPr="00154024">
              <w:rPr>
                <w:rFonts w:ascii="Times New Roman" w:hAnsi="Times New Roman"/>
                <w:sz w:val="24"/>
                <w:szCs w:val="24"/>
              </w:rPr>
              <w:t>podpis</w:t>
            </w:r>
            <w:proofErr w:type="gramEnd"/>
            <w:r w:rsidRPr="00154024">
              <w:rPr>
                <w:rFonts w:ascii="Times New Roman" w:hAnsi="Times New Roman"/>
                <w:sz w:val="24"/>
                <w:szCs w:val="24"/>
              </w:rPr>
              <w:t xml:space="preserve"> osoby upoważnionej do wystawienia listu intencyjnego z podaniem jej imienia i nazwiska i stanowiska w organizacji.</w:t>
            </w:r>
          </w:p>
          <w:p w14:paraId="2FA85998" w14:textId="1CBE87DD" w:rsidR="0078163D" w:rsidRPr="0078163D" w:rsidRDefault="0078163D" w:rsidP="0078163D">
            <w:pPr>
              <w:spacing w:after="120" w:line="240" w:lineRule="auto"/>
              <w:jc w:val="both"/>
              <w:rPr>
                <w:rFonts w:ascii="Times New Roman" w:hAnsi="Times New Roman"/>
                <w:sz w:val="24"/>
                <w:szCs w:val="24"/>
              </w:rPr>
            </w:pPr>
            <w:r w:rsidRPr="0078163D">
              <w:rPr>
                <w:rFonts w:ascii="Times New Roman" w:hAnsi="Times New Roman"/>
                <w:sz w:val="24"/>
                <w:szCs w:val="24"/>
              </w:rPr>
              <w:t xml:space="preserve">Rekomendowane jest, aby list intencyjny zawierał również </w:t>
            </w:r>
            <w:r w:rsidRPr="0078163D">
              <w:rPr>
                <w:rFonts w:ascii="Times New Roman" w:hAnsi="Times New Roman"/>
                <w:b/>
                <w:sz w:val="24"/>
                <w:szCs w:val="24"/>
              </w:rPr>
              <w:t>wyrażenie opinii instytucji nt. wnioskodawcy i/lub partnerów</w:t>
            </w:r>
            <w:r w:rsidRPr="0078163D">
              <w:rPr>
                <w:rFonts w:ascii="Times New Roman" w:hAnsi="Times New Roman"/>
                <w:sz w:val="24"/>
                <w:szCs w:val="24"/>
              </w:rPr>
              <w:t xml:space="preserve"> w </w:t>
            </w:r>
            <w:proofErr w:type="gramStart"/>
            <w:r w:rsidRPr="0078163D">
              <w:rPr>
                <w:rFonts w:ascii="Times New Roman" w:hAnsi="Times New Roman"/>
                <w:sz w:val="24"/>
                <w:szCs w:val="24"/>
              </w:rPr>
              <w:t>kontekście jakości</w:t>
            </w:r>
            <w:proofErr w:type="gramEnd"/>
            <w:r w:rsidRPr="0078163D">
              <w:rPr>
                <w:rFonts w:ascii="Times New Roman" w:hAnsi="Times New Roman"/>
                <w:sz w:val="24"/>
                <w:szCs w:val="24"/>
              </w:rPr>
              <w:t xml:space="preserve"> i zasad dotychczasowej współpracy oraz oceny zdolności wnioskodawcy i/lub partnerów do reprezentowania interesów sektora w obszarze potrzeb kompetencyjnych).</w:t>
            </w:r>
          </w:p>
        </w:tc>
      </w:tr>
    </w:tbl>
    <w:p w14:paraId="5B707EA4" w14:textId="77777777" w:rsidR="006909FE" w:rsidRPr="00154024" w:rsidRDefault="006909FE" w:rsidP="006F1E0F">
      <w:pPr>
        <w:spacing w:before="60" w:after="6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151"/>
      </w:tblGrid>
      <w:tr w:rsidR="00154024" w:rsidRPr="00154024" w14:paraId="526945AA" w14:textId="77777777" w:rsidTr="00154024">
        <w:trPr>
          <w:cantSplit/>
          <w:trHeight w:val="422"/>
        </w:trPr>
        <w:tc>
          <w:tcPr>
            <w:tcW w:w="1909" w:type="dxa"/>
            <w:vMerge w:val="restart"/>
          </w:tcPr>
          <w:p w14:paraId="5F505646" w14:textId="1FF8B16B" w:rsidR="00314CCC" w:rsidRPr="00154024" w:rsidRDefault="00C84A93" w:rsidP="00552C8A">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lastRenderedPageBreak/>
              <w:t>Pytanie 30</w:t>
            </w:r>
          </w:p>
          <w:p w14:paraId="05B72EC7" w14:textId="34003A35" w:rsidR="00314CCC" w:rsidRPr="00154024" w:rsidRDefault="00314CCC" w:rsidP="00552C8A">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w:t>
            </w:r>
            <w:r w:rsidR="00C84A93" w:rsidRPr="00154024">
              <w:rPr>
                <w:rFonts w:ascii="Times New Roman" w:hAnsi="Times New Roman" w:cs="Times New Roman"/>
                <w:sz w:val="24"/>
                <w:szCs w:val="24"/>
              </w:rPr>
              <w:t>liczba dofinansowanych projektów</w:t>
            </w:r>
            <w:r w:rsidRPr="00154024">
              <w:rPr>
                <w:rFonts w:ascii="Times New Roman" w:hAnsi="Times New Roman" w:cs="Times New Roman"/>
                <w:sz w:val="24"/>
                <w:szCs w:val="24"/>
              </w:rPr>
              <w:t>)</w:t>
            </w:r>
          </w:p>
        </w:tc>
        <w:tc>
          <w:tcPr>
            <w:tcW w:w="7151" w:type="dxa"/>
          </w:tcPr>
          <w:p w14:paraId="5F8A298F" w14:textId="21DD3792" w:rsidR="00314CCC" w:rsidRPr="00154024" w:rsidRDefault="00C84A93" w:rsidP="00314CCC">
            <w:pPr>
              <w:jc w:val="both"/>
              <w:rPr>
                <w:rFonts w:ascii="Times New Roman" w:hAnsi="Times New Roman" w:cs="Times New Roman"/>
                <w:sz w:val="24"/>
                <w:szCs w:val="24"/>
              </w:rPr>
            </w:pPr>
            <w:r w:rsidRPr="00154024">
              <w:rPr>
                <w:rFonts w:ascii="Times New Roman" w:hAnsi="Times New Roman" w:cs="Times New Roman"/>
                <w:sz w:val="24"/>
                <w:szCs w:val="24"/>
              </w:rPr>
              <w:t>Ile projektów otrzyma dofinansowanie na Mazowszu (czy w ramach konkursu w Warszawie możliwe będzie wybranie tylko jednej Sektorowej Rady w danym obszarze – w tym wypadku dot. kompetencji medycznych, czy też dofinansowanie będą mogły otrzymać np. dwa odrębne projekty)?</w:t>
            </w:r>
          </w:p>
        </w:tc>
      </w:tr>
      <w:tr w:rsidR="00154024" w:rsidRPr="00154024" w14:paraId="53D1D5BA" w14:textId="77777777" w:rsidTr="00154024">
        <w:trPr>
          <w:cantSplit/>
          <w:trHeight w:val="1265"/>
        </w:trPr>
        <w:tc>
          <w:tcPr>
            <w:tcW w:w="1909" w:type="dxa"/>
            <w:vMerge/>
          </w:tcPr>
          <w:p w14:paraId="2BA2681F" w14:textId="77777777" w:rsidR="00302D79" w:rsidRPr="00154024" w:rsidRDefault="00302D79" w:rsidP="00552C8A">
            <w:pPr>
              <w:spacing w:before="60" w:after="60" w:line="240" w:lineRule="auto"/>
              <w:rPr>
                <w:rFonts w:ascii="Times New Roman" w:hAnsi="Times New Roman" w:cs="Times New Roman"/>
                <w:sz w:val="24"/>
                <w:szCs w:val="24"/>
              </w:rPr>
            </w:pPr>
          </w:p>
        </w:tc>
        <w:tc>
          <w:tcPr>
            <w:tcW w:w="7151" w:type="dxa"/>
          </w:tcPr>
          <w:p w14:paraId="5D4C5125" w14:textId="4CE85BCD" w:rsidR="00D102E9" w:rsidRPr="00154024" w:rsidRDefault="00C84A93" w:rsidP="00314CCC">
            <w:pPr>
              <w:jc w:val="both"/>
              <w:rPr>
                <w:rFonts w:ascii="Times New Roman" w:hAnsi="Times New Roman" w:cs="Times New Roman"/>
                <w:sz w:val="24"/>
                <w:szCs w:val="24"/>
              </w:rPr>
            </w:pPr>
            <w:r w:rsidRPr="00154024">
              <w:rPr>
                <w:rFonts w:ascii="Times New Roman" w:hAnsi="Times New Roman" w:cs="Times New Roman"/>
                <w:sz w:val="24"/>
                <w:szCs w:val="24"/>
              </w:rPr>
              <w:t>Zgodnie z zapisami punktu 3 Podrozdziału 4.3 Regulaminu konkursu: „W ramach konkursu dofinansowanych zostanie maksymalnie 5 projektów, mających na celu powołanie i funkcjonowanie Sektorowych Rad ds. Kompetencji w 5 różnych sektorach gospodarki, o których mowa w Załączniku nr 1 do Regulaminu”.</w:t>
            </w:r>
          </w:p>
        </w:tc>
      </w:tr>
      <w:tr w:rsidR="00154024" w:rsidRPr="00154024" w14:paraId="69037FB3" w14:textId="77777777" w:rsidTr="00154024">
        <w:trPr>
          <w:cantSplit/>
          <w:trHeight w:val="422"/>
        </w:trPr>
        <w:tc>
          <w:tcPr>
            <w:tcW w:w="1909" w:type="dxa"/>
            <w:vMerge w:val="restart"/>
            <w:shd w:val="clear" w:color="auto" w:fill="auto"/>
          </w:tcPr>
          <w:p w14:paraId="5BC8EBF3" w14:textId="2FA6B2F9" w:rsidR="00314CCC" w:rsidRPr="00154024" w:rsidRDefault="003E4334" w:rsidP="00552C8A">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31</w:t>
            </w:r>
          </w:p>
          <w:p w14:paraId="2A30D661" w14:textId="4F8F7A9D" w:rsidR="00314CCC" w:rsidRPr="00154024" w:rsidRDefault="00314CCC" w:rsidP="00552C8A">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w:t>
            </w:r>
            <w:r w:rsidR="003E4334" w:rsidRPr="00154024">
              <w:rPr>
                <w:rFonts w:ascii="Times New Roman" w:hAnsi="Times New Roman" w:cs="Times New Roman"/>
                <w:sz w:val="24"/>
                <w:szCs w:val="24"/>
              </w:rPr>
              <w:t>data rozpoczęcia projektu</w:t>
            </w:r>
            <w:r w:rsidRPr="00154024">
              <w:rPr>
                <w:rFonts w:ascii="Times New Roman" w:hAnsi="Times New Roman" w:cs="Times New Roman"/>
                <w:sz w:val="24"/>
                <w:szCs w:val="24"/>
              </w:rPr>
              <w:t>)</w:t>
            </w:r>
          </w:p>
        </w:tc>
        <w:tc>
          <w:tcPr>
            <w:tcW w:w="7151" w:type="dxa"/>
            <w:shd w:val="clear" w:color="auto" w:fill="auto"/>
          </w:tcPr>
          <w:p w14:paraId="62260E67" w14:textId="51A0DDB1" w:rsidR="00314CCC" w:rsidRPr="00154024" w:rsidRDefault="003E4334" w:rsidP="00314CCC">
            <w:pPr>
              <w:rPr>
                <w:rFonts w:ascii="Times New Roman" w:hAnsi="Times New Roman" w:cs="Times New Roman"/>
                <w:sz w:val="24"/>
                <w:szCs w:val="24"/>
              </w:rPr>
            </w:pPr>
            <w:r w:rsidRPr="00154024">
              <w:rPr>
                <w:rFonts w:ascii="Times New Roman" w:hAnsi="Times New Roman" w:cs="Times New Roman"/>
                <w:sz w:val="24"/>
                <w:szCs w:val="24"/>
              </w:rPr>
              <w:t>Jaka jest rekomendowana data rozpoczęcia projektu?</w:t>
            </w:r>
          </w:p>
        </w:tc>
      </w:tr>
      <w:tr w:rsidR="00154024" w:rsidRPr="00154024" w14:paraId="35234FB0" w14:textId="77777777" w:rsidTr="00154024">
        <w:trPr>
          <w:cantSplit/>
          <w:trHeight w:val="1265"/>
        </w:trPr>
        <w:tc>
          <w:tcPr>
            <w:tcW w:w="1909" w:type="dxa"/>
            <w:vMerge/>
            <w:shd w:val="clear" w:color="auto" w:fill="auto"/>
          </w:tcPr>
          <w:p w14:paraId="4646E0A6" w14:textId="77777777" w:rsidR="00DC197A" w:rsidRPr="00154024" w:rsidRDefault="00DC197A" w:rsidP="00552C8A">
            <w:pPr>
              <w:spacing w:before="60" w:after="60" w:line="240" w:lineRule="auto"/>
              <w:rPr>
                <w:rFonts w:ascii="Times New Roman" w:hAnsi="Times New Roman" w:cs="Times New Roman"/>
                <w:sz w:val="24"/>
                <w:szCs w:val="24"/>
              </w:rPr>
            </w:pPr>
          </w:p>
        </w:tc>
        <w:tc>
          <w:tcPr>
            <w:tcW w:w="7151" w:type="dxa"/>
            <w:shd w:val="clear" w:color="auto" w:fill="auto"/>
          </w:tcPr>
          <w:p w14:paraId="28252C5A" w14:textId="40FB7A1F" w:rsidR="003E4334" w:rsidRPr="00154024" w:rsidRDefault="003E4334" w:rsidP="003E4334">
            <w:pPr>
              <w:spacing w:after="120" w:line="240" w:lineRule="auto"/>
              <w:jc w:val="both"/>
              <w:rPr>
                <w:rFonts w:ascii="Times New Roman" w:hAnsi="Times New Roman" w:cs="Times New Roman"/>
                <w:sz w:val="24"/>
                <w:szCs w:val="24"/>
              </w:rPr>
            </w:pPr>
            <w:r w:rsidRPr="00154024">
              <w:rPr>
                <w:rFonts w:ascii="Times New Roman" w:hAnsi="Times New Roman" w:cs="Times New Roman"/>
                <w:sz w:val="24"/>
                <w:szCs w:val="24"/>
              </w:rPr>
              <w:t xml:space="preserve">Zgodnie z komunikatem zamieszczonym na stronie </w:t>
            </w:r>
            <w:hyperlink r:id="rId8" w:history="1">
              <w:r w:rsidRPr="00154024">
                <w:rPr>
                  <w:rStyle w:val="Hipercze"/>
                  <w:rFonts w:ascii="Times New Roman" w:hAnsi="Times New Roman" w:cs="Times New Roman"/>
                  <w:color w:val="auto"/>
                  <w:sz w:val="24"/>
                  <w:szCs w:val="24"/>
                </w:rPr>
                <w:t>http://power.parp.gov.pl/komunikaty/komunikat-dotyczacy-kryterium-dostepu-nr-2</w:t>
              </w:r>
            </w:hyperlink>
            <w:r w:rsidRPr="00154024">
              <w:rPr>
                <w:rFonts w:ascii="Times New Roman" w:hAnsi="Times New Roman" w:cs="Times New Roman"/>
                <w:sz w:val="24"/>
                <w:szCs w:val="24"/>
              </w:rPr>
              <w:t xml:space="preserve"> „Data rozpoczęcia realizacji projektu nie jest późniejsza niż 9 miesięcy od ostatecznego terminu składania wniosków dla konkursu." Z uwagi na konieczność przyspieszenia rozpoczęcia wdrażania finansowanych w ramach Działania 2.12. PO WER projektów dotyczących powołania i funkcjonowania Sektorowych Rad ds. Kompetencji, Instytucja Pośrednicząca rekomenduje </w:t>
            </w:r>
            <w:proofErr w:type="gramStart"/>
            <w:r w:rsidRPr="00154024">
              <w:rPr>
                <w:rFonts w:ascii="Times New Roman" w:hAnsi="Times New Roman" w:cs="Times New Roman"/>
                <w:sz w:val="24"/>
                <w:szCs w:val="24"/>
              </w:rPr>
              <w:t>wskazywanie jako</w:t>
            </w:r>
            <w:proofErr w:type="gramEnd"/>
            <w:r w:rsidRPr="00154024">
              <w:rPr>
                <w:rFonts w:ascii="Times New Roman" w:hAnsi="Times New Roman" w:cs="Times New Roman"/>
                <w:sz w:val="24"/>
                <w:szCs w:val="24"/>
              </w:rPr>
              <w:t xml:space="preserve"> terminu rozpoczęcia realizacji projektu miesiąca września 2016 roku”.</w:t>
            </w:r>
          </w:p>
        </w:tc>
      </w:tr>
      <w:tr w:rsidR="00154024" w:rsidRPr="00154024" w14:paraId="410276E0" w14:textId="77777777" w:rsidTr="00154024">
        <w:trPr>
          <w:cantSplit/>
          <w:trHeight w:val="699"/>
        </w:trPr>
        <w:tc>
          <w:tcPr>
            <w:tcW w:w="1909" w:type="dxa"/>
            <w:vMerge w:val="restart"/>
            <w:shd w:val="clear" w:color="auto" w:fill="auto"/>
          </w:tcPr>
          <w:p w14:paraId="48B8720F" w14:textId="77777777" w:rsidR="00085830" w:rsidRDefault="00085830" w:rsidP="00552C8A">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Pytanie </w:t>
            </w:r>
            <w:r w:rsidR="00C74690">
              <w:rPr>
                <w:rFonts w:ascii="Times New Roman" w:hAnsi="Times New Roman" w:cs="Times New Roman"/>
                <w:sz w:val="24"/>
                <w:szCs w:val="24"/>
              </w:rPr>
              <w:t>32</w:t>
            </w:r>
          </w:p>
          <w:p w14:paraId="1BC0F876" w14:textId="66FC8289" w:rsidR="00314CCC" w:rsidRPr="00154024" w:rsidRDefault="00552C8A" w:rsidP="00552C8A">
            <w:pPr>
              <w:spacing w:before="60" w:after="60" w:line="240" w:lineRule="auto"/>
              <w:rPr>
                <w:rFonts w:ascii="Times New Roman" w:hAnsi="Times New Roman" w:cs="Times New Roman"/>
                <w:sz w:val="24"/>
                <w:szCs w:val="24"/>
              </w:rPr>
            </w:pPr>
            <w:bookmarkStart w:id="2" w:name="_GoBack"/>
            <w:bookmarkEnd w:id="2"/>
            <w:r w:rsidRPr="00154024">
              <w:rPr>
                <w:rFonts w:ascii="Times New Roman" w:hAnsi="Times New Roman" w:cs="Times New Roman"/>
                <w:sz w:val="24"/>
                <w:szCs w:val="24"/>
              </w:rPr>
              <w:t>(SOWA)</w:t>
            </w:r>
          </w:p>
        </w:tc>
        <w:tc>
          <w:tcPr>
            <w:tcW w:w="7151" w:type="dxa"/>
            <w:shd w:val="clear" w:color="auto" w:fill="auto"/>
          </w:tcPr>
          <w:p w14:paraId="55087878" w14:textId="63235AD4" w:rsidR="00552C8A" w:rsidRPr="00154024" w:rsidRDefault="00552C8A" w:rsidP="006F1E0F">
            <w:pPr>
              <w:spacing w:after="0" w:line="240" w:lineRule="auto"/>
              <w:jc w:val="both"/>
              <w:rPr>
                <w:rFonts w:ascii="Times New Roman" w:hAnsi="Times New Roman" w:cs="Times New Roman"/>
                <w:sz w:val="24"/>
                <w:szCs w:val="24"/>
              </w:rPr>
            </w:pPr>
            <w:r w:rsidRPr="00154024">
              <w:rPr>
                <w:rFonts w:ascii="Times New Roman" w:hAnsi="Times New Roman" w:cs="Times New Roman"/>
                <w:sz w:val="24"/>
                <w:szCs w:val="24"/>
              </w:rPr>
              <w:t>Czy wpisywanie wniosku do systemu SOWA może następować w kilku terminach i czy można edytować już raz wpisane informacje?</w:t>
            </w:r>
          </w:p>
        </w:tc>
      </w:tr>
      <w:tr w:rsidR="00154024" w:rsidRPr="00154024" w14:paraId="3DE14FD0" w14:textId="77777777" w:rsidTr="00154024">
        <w:trPr>
          <w:cantSplit/>
          <w:trHeight w:val="1265"/>
        </w:trPr>
        <w:tc>
          <w:tcPr>
            <w:tcW w:w="1909" w:type="dxa"/>
            <w:vMerge/>
            <w:shd w:val="clear" w:color="auto" w:fill="auto"/>
          </w:tcPr>
          <w:p w14:paraId="16973CB4" w14:textId="77777777" w:rsidR="0091398F" w:rsidRPr="00154024" w:rsidRDefault="0091398F" w:rsidP="00552C8A">
            <w:pPr>
              <w:spacing w:before="60" w:after="60" w:line="240" w:lineRule="auto"/>
              <w:rPr>
                <w:rFonts w:ascii="Times New Roman" w:hAnsi="Times New Roman" w:cs="Times New Roman"/>
                <w:sz w:val="24"/>
                <w:szCs w:val="24"/>
              </w:rPr>
            </w:pPr>
          </w:p>
        </w:tc>
        <w:tc>
          <w:tcPr>
            <w:tcW w:w="7151" w:type="dxa"/>
            <w:shd w:val="clear" w:color="auto" w:fill="auto"/>
          </w:tcPr>
          <w:p w14:paraId="06C49052" w14:textId="79E762FD" w:rsidR="00D31A3C"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Zgodnie z zapisami instrukcji użytkownika Systemu Obsługi Wniosków Aplikacyjnych (część IV.3) </w:t>
            </w:r>
            <w:proofErr w:type="gramStart"/>
            <w:r w:rsidRPr="00154024">
              <w:rPr>
                <w:rFonts w:ascii="Times New Roman" w:hAnsi="Times New Roman"/>
                <w:sz w:val="24"/>
                <w:szCs w:val="24"/>
              </w:rPr>
              <w:t>zapis</w:t>
            </w:r>
            <w:proofErr w:type="gramEnd"/>
            <w:r w:rsidRPr="00154024">
              <w:rPr>
                <w:rFonts w:ascii="Times New Roman" w:hAnsi="Times New Roman"/>
                <w:sz w:val="24"/>
                <w:szCs w:val="24"/>
              </w:rPr>
              <w:t xml:space="preserve"> danych na serwerze odbywa się po wybraniu przycisku Zapisz, Zatwierdź oraz Zatwierdź i przejdź dalej. Dodatkowo system automatycznie zapisuje dane </w:t>
            </w:r>
            <w:proofErr w:type="gramStart"/>
            <w:r w:rsidRPr="00154024">
              <w:rPr>
                <w:rFonts w:ascii="Times New Roman" w:hAnsi="Times New Roman"/>
                <w:sz w:val="24"/>
                <w:szCs w:val="24"/>
              </w:rPr>
              <w:t>formularzy co</w:t>
            </w:r>
            <w:proofErr w:type="gramEnd"/>
            <w:r w:rsidRPr="00154024">
              <w:rPr>
                <w:rFonts w:ascii="Times New Roman" w:hAnsi="Times New Roman"/>
                <w:sz w:val="24"/>
                <w:szCs w:val="24"/>
              </w:rPr>
              <w:t xml:space="preserve"> 3 minuty. Zalecamy jednak regularne dokonywanie zapisu danych podczas pracy. Instrukcja dostępna jest pod adresem: </w:t>
            </w:r>
            <w:hyperlink r:id="rId9" w:history="1">
              <w:r w:rsidRPr="00154024">
                <w:rPr>
                  <w:rStyle w:val="Hipercze"/>
                  <w:rFonts w:ascii="Times New Roman" w:hAnsi="Times New Roman"/>
                  <w:color w:val="auto"/>
                  <w:sz w:val="24"/>
                  <w:szCs w:val="24"/>
                </w:rPr>
                <w:t>https://www.sowa.efs.gov.pl/</w:t>
              </w:r>
            </w:hyperlink>
            <w:r w:rsidRPr="00154024">
              <w:rPr>
                <w:rFonts w:ascii="Times New Roman" w:hAnsi="Times New Roman"/>
                <w:sz w:val="24"/>
                <w:szCs w:val="24"/>
              </w:rPr>
              <w:t xml:space="preserve"> w zakładce „Pomoc”</w:t>
            </w:r>
          </w:p>
        </w:tc>
      </w:tr>
      <w:tr w:rsidR="00154024" w:rsidRPr="00154024" w14:paraId="780053B8" w14:textId="77777777" w:rsidTr="00154024">
        <w:trPr>
          <w:cantSplit/>
          <w:trHeight w:val="731"/>
        </w:trPr>
        <w:tc>
          <w:tcPr>
            <w:tcW w:w="1909" w:type="dxa"/>
            <w:vMerge w:val="restart"/>
            <w:shd w:val="clear" w:color="auto" w:fill="auto"/>
          </w:tcPr>
          <w:p w14:paraId="10185C97" w14:textId="24C1061B" w:rsidR="00314CCC"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w:t>
            </w:r>
            <w:r w:rsidR="00C74690">
              <w:rPr>
                <w:rFonts w:ascii="Times New Roman" w:hAnsi="Times New Roman" w:cs="Times New Roman"/>
                <w:sz w:val="24"/>
                <w:szCs w:val="24"/>
              </w:rPr>
              <w:t>3</w:t>
            </w:r>
            <w:r w:rsidRPr="00154024">
              <w:rPr>
                <w:rFonts w:ascii="Times New Roman" w:hAnsi="Times New Roman" w:cs="Times New Roman"/>
                <w:sz w:val="24"/>
                <w:szCs w:val="24"/>
              </w:rPr>
              <w:t xml:space="preserve"> (Parametry techniczne)</w:t>
            </w:r>
          </w:p>
        </w:tc>
        <w:tc>
          <w:tcPr>
            <w:tcW w:w="7151" w:type="dxa"/>
            <w:shd w:val="clear" w:color="auto" w:fill="auto"/>
          </w:tcPr>
          <w:p w14:paraId="11A4BD56" w14:textId="4E45433C" w:rsidR="00314CCC"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Czy w wersji papierowej PARP określa parametry dokumentu i rodzaj czcionki itp.?</w:t>
            </w:r>
          </w:p>
        </w:tc>
      </w:tr>
      <w:tr w:rsidR="00154024" w:rsidRPr="00154024" w14:paraId="7538C033" w14:textId="77777777" w:rsidTr="00154024">
        <w:trPr>
          <w:cantSplit/>
          <w:trHeight w:val="608"/>
        </w:trPr>
        <w:tc>
          <w:tcPr>
            <w:tcW w:w="1909" w:type="dxa"/>
            <w:vMerge/>
            <w:shd w:val="clear" w:color="auto" w:fill="auto"/>
          </w:tcPr>
          <w:p w14:paraId="3F98C4FC" w14:textId="77777777" w:rsidR="00314CCC" w:rsidRPr="00154024" w:rsidRDefault="00314CCC" w:rsidP="00552C8A">
            <w:pPr>
              <w:spacing w:before="60" w:after="60" w:line="240" w:lineRule="auto"/>
              <w:rPr>
                <w:rFonts w:ascii="Times New Roman" w:hAnsi="Times New Roman" w:cs="Times New Roman"/>
                <w:sz w:val="24"/>
                <w:szCs w:val="24"/>
              </w:rPr>
            </w:pPr>
          </w:p>
        </w:tc>
        <w:tc>
          <w:tcPr>
            <w:tcW w:w="7151" w:type="dxa"/>
            <w:shd w:val="clear" w:color="auto" w:fill="auto"/>
          </w:tcPr>
          <w:p w14:paraId="62C9DD39" w14:textId="3E49FDCF" w:rsidR="00314CCC" w:rsidRPr="00154024" w:rsidRDefault="00552C8A" w:rsidP="00552C8A">
            <w:pPr>
              <w:pStyle w:val="Zwykytekst"/>
              <w:jc w:val="both"/>
              <w:rPr>
                <w:rFonts w:ascii="Times New Roman" w:hAnsi="Times New Roman"/>
                <w:sz w:val="24"/>
                <w:szCs w:val="24"/>
                <w:lang w:eastAsia="pl-PL"/>
              </w:rPr>
            </w:pPr>
            <w:r w:rsidRPr="00154024">
              <w:rPr>
                <w:rFonts w:ascii="Times New Roman" w:hAnsi="Times New Roman"/>
                <w:sz w:val="24"/>
                <w:szCs w:val="24"/>
              </w:rPr>
              <w:t xml:space="preserve">Nie ma wytycznych w zakresie parametrów papierowych wersji dokumentów oraz rodzaju czcionek. </w:t>
            </w:r>
          </w:p>
        </w:tc>
      </w:tr>
      <w:tr w:rsidR="00154024" w:rsidRPr="00154024" w14:paraId="38F519B8" w14:textId="77777777" w:rsidTr="00154024">
        <w:trPr>
          <w:cantSplit/>
          <w:trHeight w:val="731"/>
        </w:trPr>
        <w:tc>
          <w:tcPr>
            <w:tcW w:w="1909" w:type="dxa"/>
            <w:vMerge w:val="restart"/>
            <w:shd w:val="clear" w:color="auto" w:fill="auto"/>
          </w:tcPr>
          <w:p w14:paraId="0D45B04D" w14:textId="46E13465" w:rsidR="00E215EB"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w:t>
            </w:r>
            <w:r w:rsidR="00C74690">
              <w:rPr>
                <w:rFonts w:ascii="Times New Roman" w:hAnsi="Times New Roman" w:cs="Times New Roman"/>
                <w:sz w:val="24"/>
                <w:szCs w:val="24"/>
              </w:rPr>
              <w:t>4</w:t>
            </w:r>
            <w:r w:rsidRPr="00154024">
              <w:rPr>
                <w:rFonts w:ascii="Times New Roman" w:hAnsi="Times New Roman" w:cs="Times New Roman"/>
                <w:sz w:val="24"/>
                <w:szCs w:val="24"/>
              </w:rPr>
              <w:t xml:space="preserve"> (SL2014)</w:t>
            </w:r>
          </w:p>
        </w:tc>
        <w:tc>
          <w:tcPr>
            <w:tcW w:w="7151" w:type="dxa"/>
            <w:shd w:val="clear" w:color="auto" w:fill="auto"/>
          </w:tcPr>
          <w:p w14:paraId="45892249" w14:textId="58B5F0BB" w:rsidR="00314CCC" w:rsidRPr="00154024" w:rsidRDefault="00552C8A" w:rsidP="006F08B1">
            <w:pPr>
              <w:jc w:val="both"/>
              <w:rPr>
                <w:rFonts w:ascii="Times New Roman" w:hAnsi="Times New Roman" w:cs="Times New Roman"/>
                <w:sz w:val="24"/>
                <w:szCs w:val="24"/>
              </w:rPr>
            </w:pPr>
            <w:r w:rsidRPr="00154024">
              <w:rPr>
                <w:rFonts w:ascii="Times New Roman" w:hAnsi="Times New Roman" w:cs="Times New Roman"/>
                <w:sz w:val="24"/>
                <w:szCs w:val="24"/>
              </w:rPr>
              <w:t>Czy można przed złożeniem wniosku zapoznać się z zasadami działania Systemu SL2014?</w:t>
            </w:r>
          </w:p>
        </w:tc>
      </w:tr>
      <w:tr w:rsidR="00154024" w:rsidRPr="00154024" w14:paraId="6E608B68" w14:textId="77777777" w:rsidTr="00154024">
        <w:trPr>
          <w:cantSplit/>
          <w:trHeight w:val="958"/>
        </w:trPr>
        <w:tc>
          <w:tcPr>
            <w:tcW w:w="1909" w:type="dxa"/>
            <w:vMerge/>
            <w:shd w:val="clear" w:color="auto" w:fill="auto"/>
          </w:tcPr>
          <w:p w14:paraId="2DE88176" w14:textId="77777777" w:rsidR="00314CCC" w:rsidRPr="00154024" w:rsidRDefault="00314CCC" w:rsidP="00552C8A">
            <w:pPr>
              <w:spacing w:before="60" w:after="60" w:line="240" w:lineRule="auto"/>
              <w:rPr>
                <w:rFonts w:ascii="Times New Roman" w:hAnsi="Times New Roman" w:cs="Times New Roman"/>
                <w:sz w:val="24"/>
                <w:szCs w:val="24"/>
              </w:rPr>
            </w:pPr>
          </w:p>
        </w:tc>
        <w:tc>
          <w:tcPr>
            <w:tcW w:w="7151" w:type="dxa"/>
            <w:shd w:val="clear" w:color="auto" w:fill="auto"/>
          </w:tcPr>
          <w:p w14:paraId="6ADE549A" w14:textId="4C0AC4FE" w:rsidR="00314CCC"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Na stronie internetowej </w:t>
            </w:r>
            <w:hyperlink r:id="rId10" w:history="1">
              <w:r w:rsidRPr="00154024">
                <w:rPr>
                  <w:rStyle w:val="Hipercze"/>
                  <w:rFonts w:ascii="Times New Roman" w:hAnsi="Times New Roman"/>
                  <w:color w:val="auto"/>
                  <w:sz w:val="24"/>
                  <w:szCs w:val="24"/>
                </w:rPr>
                <w:t>www.instrukcja.sl2014.gov.pl</w:t>
              </w:r>
            </w:hyperlink>
            <w:r w:rsidRPr="00154024">
              <w:rPr>
                <w:rFonts w:ascii="Times New Roman" w:hAnsi="Times New Roman"/>
                <w:sz w:val="24"/>
                <w:szCs w:val="24"/>
              </w:rPr>
              <w:t xml:space="preserve"> dostępna jest Instrukcja multimedialna użytkownika SL2014, natomiast na stronie internetowej </w:t>
            </w:r>
            <w:hyperlink r:id="rId11" w:history="1">
              <w:r w:rsidRPr="00154024">
                <w:rPr>
                  <w:rStyle w:val="Hipercze"/>
                  <w:rFonts w:ascii="Times New Roman" w:hAnsi="Times New Roman"/>
                  <w:color w:val="auto"/>
                  <w:sz w:val="24"/>
                  <w:szCs w:val="24"/>
                </w:rPr>
                <w:t>www.funduszeeuropejskie.gov.pl</w:t>
              </w:r>
            </w:hyperlink>
            <w:r w:rsidRPr="00154024">
              <w:rPr>
                <w:rFonts w:ascii="Times New Roman" w:hAnsi="Times New Roman"/>
                <w:sz w:val="24"/>
                <w:szCs w:val="24"/>
              </w:rPr>
              <w:t xml:space="preserve"> znajduje się dokument: Centralny system informatyczny SL2014 - Podręcznik Beneficjenta. Rekomendujemy zapoznanie się z tymi dokumentami, które opisują działanie Systemu SL2014. </w:t>
            </w:r>
          </w:p>
        </w:tc>
      </w:tr>
      <w:tr w:rsidR="00154024" w:rsidRPr="00154024" w14:paraId="4B25C755" w14:textId="77777777" w:rsidTr="00154024">
        <w:trPr>
          <w:cantSplit/>
          <w:trHeight w:val="731"/>
        </w:trPr>
        <w:tc>
          <w:tcPr>
            <w:tcW w:w="1909" w:type="dxa"/>
            <w:vMerge w:val="restart"/>
            <w:shd w:val="clear" w:color="auto" w:fill="auto"/>
          </w:tcPr>
          <w:p w14:paraId="778E6268" w14:textId="508AE2DB" w:rsidR="00E215EB"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w:t>
            </w:r>
            <w:r w:rsidR="00C74690">
              <w:rPr>
                <w:rFonts w:ascii="Times New Roman" w:hAnsi="Times New Roman" w:cs="Times New Roman"/>
                <w:sz w:val="24"/>
                <w:szCs w:val="24"/>
              </w:rPr>
              <w:t>5</w:t>
            </w:r>
            <w:r w:rsidRPr="00154024">
              <w:rPr>
                <w:rFonts w:ascii="Times New Roman" w:hAnsi="Times New Roman" w:cs="Times New Roman"/>
                <w:sz w:val="24"/>
                <w:szCs w:val="24"/>
              </w:rPr>
              <w:t xml:space="preserve"> (Okres realizacji)</w:t>
            </w:r>
          </w:p>
        </w:tc>
        <w:tc>
          <w:tcPr>
            <w:tcW w:w="7151" w:type="dxa"/>
            <w:shd w:val="clear" w:color="auto" w:fill="auto"/>
          </w:tcPr>
          <w:p w14:paraId="2C621E01" w14:textId="034C2E6A" w:rsidR="002820F1" w:rsidRPr="00154024" w:rsidRDefault="00552C8A" w:rsidP="006F08B1">
            <w:pPr>
              <w:jc w:val="both"/>
              <w:rPr>
                <w:rFonts w:ascii="Times New Roman" w:hAnsi="Times New Roman" w:cs="Times New Roman"/>
                <w:sz w:val="24"/>
                <w:szCs w:val="24"/>
              </w:rPr>
            </w:pPr>
            <w:r w:rsidRPr="00154024">
              <w:rPr>
                <w:rFonts w:ascii="Times New Roman" w:hAnsi="Times New Roman" w:cs="Times New Roman"/>
                <w:sz w:val="24"/>
                <w:szCs w:val="24"/>
              </w:rPr>
              <w:t xml:space="preserve">Czas realizacji Umowy: w regulaminie podano datę rozpoczęcia marzec 2017r.- termin zakończenia realizacji </w:t>
            </w:r>
            <w:proofErr w:type="gramStart"/>
            <w:r w:rsidRPr="00154024">
              <w:rPr>
                <w:rFonts w:ascii="Times New Roman" w:hAnsi="Times New Roman" w:cs="Times New Roman"/>
                <w:sz w:val="24"/>
                <w:szCs w:val="24"/>
              </w:rPr>
              <w:t>projektu  to</w:t>
            </w:r>
            <w:proofErr w:type="gramEnd"/>
            <w:r w:rsidRPr="00154024">
              <w:rPr>
                <w:rFonts w:ascii="Times New Roman" w:hAnsi="Times New Roman" w:cs="Times New Roman"/>
                <w:sz w:val="24"/>
                <w:szCs w:val="24"/>
              </w:rPr>
              <w:t xml:space="preserve"> 30.06.2023</w:t>
            </w:r>
            <w:proofErr w:type="gramStart"/>
            <w:r w:rsidRPr="00154024">
              <w:rPr>
                <w:rFonts w:ascii="Times New Roman" w:hAnsi="Times New Roman" w:cs="Times New Roman"/>
                <w:sz w:val="24"/>
                <w:szCs w:val="24"/>
              </w:rPr>
              <w:t>r</w:t>
            </w:r>
            <w:proofErr w:type="gramEnd"/>
            <w:r w:rsidRPr="00154024">
              <w:rPr>
                <w:rFonts w:ascii="Times New Roman" w:hAnsi="Times New Roman" w:cs="Times New Roman"/>
                <w:sz w:val="24"/>
                <w:szCs w:val="24"/>
              </w:rPr>
              <w:t xml:space="preserve">.- czyli 76 miesięcy (przy wartości finansowania 2,3mln zł daje kwotę miesięczną 30263zł/miesięcznie). W komunikacie </w:t>
            </w:r>
            <w:proofErr w:type="gramStart"/>
            <w:r w:rsidRPr="00154024">
              <w:rPr>
                <w:rFonts w:ascii="Times New Roman" w:hAnsi="Times New Roman" w:cs="Times New Roman"/>
                <w:sz w:val="24"/>
                <w:szCs w:val="24"/>
              </w:rPr>
              <w:t>PARP  z</w:t>
            </w:r>
            <w:proofErr w:type="gramEnd"/>
            <w:r w:rsidRPr="00154024">
              <w:rPr>
                <w:rFonts w:ascii="Times New Roman" w:hAnsi="Times New Roman" w:cs="Times New Roman"/>
                <w:sz w:val="24"/>
                <w:szCs w:val="24"/>
              </w:rPr>
              <w:t xml:space="preserve"> 18.03.2016</w:t>
            </w:r>
            <w:proofErr w:type="gramStart"/>
            <w:r w:rsidRPr="00154024">
              <w:rPr>
                <w:rFonts w:ascii="Times New Roman" w:hAnsi="Times New Roman" w:cs="Times New Roman"/>
                <w:sz w:val="24"/>
                <w:szCs w:val="24"/>
              </w:rPr>
              <w:t>r</w:t>
            </w:r>
            <w:proofErr w:type="gramEnd"/>
            <w:r w:rsidRPr="00154024">
              <w:rPr>
                <w:rFonts w:ascii="Times New Roman" w:hAnsi="Times New Roman" w:cs="Times New Roman"/>
                <w:sz w:val="24"/>
                <w:szCs w:val="24"/>
              </w:rPr>
              <w:t>. podano datę rozpoczęcia realizacji projektu wrzesień 2016r.- bez korekty daty zakończenia. Czy projekt będzie realizowany przez 82 miesiące oczywiście przy tej samej kwocie dofinansowania?</w:t>
            </w:r>
          </w:p>
        </w:tc>
      </w:tr>
      <w:tr w:rsidR="00154024" w:rsidRPr="00154024" w14:paraId="6B4495B0" w14:textId="77777777" w:rsidTr="00154024">
        <w:trPr>
          <w:cantSplit/>
          <w:trHeight w:val="958"/>
        </w:trPr>
        <w:tc>
          <w:tcPr>
            <w:tcW w:w="1909" w:type="dxa"/>
            <w:vMerge/>
            <w:shd w:val="clear" w:color="auto" w:fill="auto"/>
          </w:tcPr>
          <w:p w14:paraId="035CDFD9" w14:textId="77777777" w:rsidR="002820F1" w:rsidRPr="00154024" w:rsidRDefault="002820F1" w:rsidP="00552C8A">
            <w:pPr>
              <w:spacing w:before="60" w:after="60" w:line="240" w:lineRule="auto"/>
              <w:rPr>
                <w:rFonts w:ascii="Times New Roman" w:hAnsi="Times New Roman" w:cs="Times New Roman"/>
                <w:sz w:val="24"/>
                <w:szCs w:val="24"/>
              </w:rPr>
            </w:pPr>
          </w:p>
        </w:tc>
        <w:tc>
          <w:tcPr>
            <w:tcW w:w="7151" w:type="dxa"/>
            <w:shd w:val="clear" w:color="auto" w:fill="auto"/>
          </w:tcPr>
          <w:p w14:paraId="701C6A95" w14:textId="77777777" w:rsidR="00552C8A"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Zgodnie z zapisami Regulaminu konkursu (Rozdział 12) wskazana powyżej data stanowi graniczną datę zakończenia oceny wniosków o dofinansowanie projektów, natomiast rozpoczęcie realizacji projektu nie może nastąpić później niż 9 miesięcy od ostatecznego terminu składania wniosków o dofinansowanie projektu (Załącznik nr 11 do Regulaminu konkursu, kryterium dostępu nr 2 weryfikowane na ocenie </w:t>
            </w:r>
            <w:proofErr w:type="gramStart"/>
            <w:r w:rsidRPr="00154024">
              <w:rPr>
                <w:rFonts w:ascii="Times New Roman" w:hAnsi="Times New Roman"/>
                <w:sz w:val="24"/>
                <w:szCs w:val="24"/>
              </w:rPr>
              <w:t xml:space="preserve">formalnej) . </w:t>
            </w:r>
            <w:proofErr w:type="gramEnd"/>
          </w:p>
          <w:p w14:paraId="4F898F20" w14:textId="494F0B5A" w:rsidR="002820F1"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W związku z planowanym znacznym przyspieszeniem oceny wniosków o dofinansowanie projektów, a co za tym idzie terminem podpisania umów, rekomendujemy </w:t>
            </w:r>
            <w:proofErr w:type="gramStart"/>
            <w:r w:rsidRPr="00154024">
              <w:rPr>
                <w:rFonts w:ascii="Times New Roman" w:hAnsi="Times New Roman"/>
                <w:sz w:val="24"/>
                <w:szCs w:val="24"/>
              </w:rPr>
              <w:t>wskazywanie jako</w:t>
            </w:r>
            <w:proofErr w:type="gramEnd"/>
            <w:r w:rsidRPr="00154024">
              <w:rPr>
                <w:rFonts w:ascii="Times New Roman" w:hAnsi="Times New Roman"/>
                <w:sz w:val="24"/>
                <w:szCs w:val="24"/>
              </w:rPr>
              <w:t xml:space="preserve"> termin rozpoczęcia realizacji projektu - wrzesień 2016 roku. Kwota alokacji wyliczona dla danego sektora, nie jest zależna do daty rozpoczęcia realizacji projektu. </w:t>
            </w:r>
          </w:p>
        </w:tc>
      </w:tr>
      <w:tr w:rsidR="00154024" w:rsidRPr="00154024" w14:paraId="7D94A210" w14:textId="77777777" w:rsidTr="00154024">
        <w:trPr>
          <w:cantSplit/>
          <w:trHeight w:val="731"/>
        </w:trPr>
        <w:tc>
          <w:tcPr>
            <w:tcW w:w="1909" w:type="dxa"/>
            <w:vMerge w:val="restart"/>
            <w:shd w:val="clear" w:color="auto" w:fill="auto"/>
          </w:tcPr>
          <w:p w14:paraId="453108E6" w14:textId="2684A585" w:rsidR="00E215EB"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w:t>
            </w:r>
            <w:r w:rsidR="00C74690">
              <w:rPr>
                <w:rFonts w:ascii="Times New Roman" w:hAnsi="Times New Roman" w:cs="Times New Roman"/>
                <w:sz w:val="24"/>
                <w:szCs w:val="24"/>
              </w:rPr>
              <w:t>6</w:t>
            </w:r>
            <w:r w:rsidRPr="00154024">
              <w:rPr>
                <w:rFonts w:ascii="Times New Roman" w:hAnsi="Times New Roman" w:cs="Times New Roman"/>
                <w:sz w:val="24"/>
                <w:szCs w:val="24"/>
              </w:rPr>
              <w:t xml:space="preserve"> (Badania BKL)</w:t>
            </w:r>
          </w:p>
        </w:tc>
        <w:tc>
          <w:tcPr>
            <w:tcW w:w="7151" w:type="dxa"/>
            <w:shd w:val="clear" w:color="auto" w:fill="auto"/>
          </w:tcPr>
          <w:p w14:paraId="052F2B16" w14:textId="4411BB1F" w:rsidR="002820F1" w:rsidRPr="00154024" w:rsidRDefault="00552C8A" w:rsidP="006F08B1">
            <w:pPr>
              <w:jc w:val="both"/>
              <w:rPr>
                <w:rFonts w:ascii="Times New Roman" w:hAnsi="Times New Roman" w:cs="Times New Roman"/>
                <w:sz w:val="24"/>
                <w:szCs w:val="24"/>
              </w:rPr>
            </w:pPr>
            <w:r w:rsidRPr="00154024">
              <w:rPr>
                <w:rFonts w:ascii="Times New Roman" w:hAnsi="Times New Roman" w:cs="Times New Roman"/>
                <w:sz w:val="24"/>
                <w:szCs w:val="24"/>
              </w:rPr>
              <w:t>Czy badania kompetencji -badania sektorowego Bilansu Kapitału Ludzkiego - będą finansowane z puli 2,3mln.</w:t>
            </w:r>
            <w:proofErr w:type="gramStart"/>
            <w:r w:rsidRPr="00154024">
              <w:rPr>
                <w:rFonts w:ascii="Times New Roman" w:hAnsi="Times New Roman" w:cs="Times New Roman"/>
                <w:sz w:val="24"/>
                <w:szCs w:val="24"/>
              </w:rPr>
              <w:t>złotych</w:t>
            </w:r>
            <w:proofErr w:type="gramEnd"/>
            <w:r w:rsidRPr="00154024">
              <w:rPr>
                <w:rFonts w:ascii="Times New Roman" w:hAnsi="Times New Roman" w:cs="Times New Roman"/>
                <w:sz w:val="24"/>
                <w:szCs w:val="24"/>
              </w:rPr>
              <w:t xml:space="preserve"> (nieruchomości)?</w:t>
            </w:r>
          </w:p>
        </w:tc>
      </w:tr>
      <w:tr w:rsidR="00154024" w:rsidRPr="00154024" w14:paraId="6E44A5EF" w14:textId="77777777" w:rsidTr="00154024">
        <w:trPr>
          <w:cantSplit/>
          <w:trHeight w:val="552"/>
        </w:trPr>
        <w:tc>
          <w:tcPr>
            <w:tcW w:w="1909" w:type="dxa"/>
            <w:vMerge/>
            <w:shd w:val="clear" w:color="auto" w:fill="auto"/>
          </w:tcPr>
          <w:p w14:paraId="4A1A2D0F" w14:textId="77777777" w:rsidR="002820F1" w:rsidRPr="00154024" w:rsidRDefault="002820F1" w:rsidP="00552C8A">
            <w:pPr>
              <w:spacing w:before="60" w:after="60" w:line="240" w:lineRule="auto"/>
              <w:rPr>
                <w:rFonts w:ascii="Times New Roman" w:hAnsi="Times New Roman" w:cs="Times New Roman"/>
                <w:sz w:val="24"/>
                <w:szCs w:val="24"/>
              </w:rPr>
            </w:pPr>
          </w:p>
        </w:tc>
        <w:tc>
          <w:tcPr>
            <w:tcW w:w="7151" w:type="dxa"/>
            <w:shd w:val="clear" w:color="auto" w:fill="auto"/>
          </w:tcPr>
          <w:p w14:paraId="7584447F" w14:textId="27D30B37" w:rsidR="002820F1"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Nie, badanie Bilansu Kapitału Ludzkiego stanowi oddzielny projekt pozakonkursowy PARP finansowany z innej puli środków. </w:t>
            </w:r>
          </w:p>
        </w:tc>
      </w:tr>
      <w:tr w:rsidR="00154024" w:rsidRPr="00154024" w14:paraId="7BE8B761" w14:textId="77777777" w:rsidTr="00154024">
        <w:trPr>
          <w:cantSplit/>
          <w:trHeight w:val="731"/>
        </w:trPr>
        <w:tc>
          <w:tcPr>
            <w:tcW w:w="1909" w:type="dxa"/>
            <w:vMerge w:val="restart"/>
            <w:shd w:val="clear" w:color="auto" w:fill="auto"/>
          </w:tcPr>
          <w:p w14:paraId="766CFFDB" w14:textId="19B09012" w:rsidR="00E215EB"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w:t>
            </w:r>
            <w:r w:rsidR="00C74690">
              <w:rPr>
                <w:rFonts w:ascii="Times New Roman" w:hAnsi="Times New Roman" w:cs="Times New Roman"/>
                <w:sz w:val="24"/>
                <w:szCs w:val="24"/>
              </w:rPr>
              <w:t>7</w:t>
            </w:r>
            <w:r w:rsidRPr="00154024">
              <w:rPr>
                <w:rFonts w:ascii="Times New Roman" w:hAnsi="Times New Roman" w:cs="Times New Roman"/>
                <w:sz w:val="24"/>
                <w:szCs w:val="24"/>
              </w:rPr>
              <w:t xml:space="preserve"> (Harmonogram)</w:t>
            </w:r>
          </w:p>
        </w:tc>
        <w:tc>
          <w:tcPr>
            <w:tcW w:w="7151" w:type="dxa"/>
            <w:shd w:val="clear" w:color="auto" w:fill="auto"/>
          </w:tcPr>
          <w:p w14:paraId="4EA06FAA" w14:textId="70AD8262" w:rsidR="002820F1" w:rsidRPr="00154024" w:rsidRDefault="00552C8A" w:rsidP="006F08B1">
            <w:pPr>
              <w:jc w:val="both"/>
              <w:rPr>
                <w:rFonts w:ascii="Times New Roman" w:hAnsi="Times New Roman" w:cs="Times New Roman"/>
                <w:sz w:val="24"/>
                <w:szCs w:val="24"/>
              </w:rPr>
            </w:pPr>
            <w:r w:rsidRPr="00154024">
              <w:rPr>
                <w:rFonts w:ascii="Times New Roman" w:hAnsi="Times New Roman" w:cs="Times New Roman"/>
                <w:sz w:val="24"/>
                <w:szCs w:val="24"/>
              </w:rPr>
              <w:t>Jaki nakład pracy i zaangażowanie Rady jest konieczne, aby sformułować badania w 2017 i w 2020? Co należy wpisać do harmonogramu?</w:t>
            </w:r>
          </w:p>
        </w:tc>
      </w:tr>
      <w:tr w:rsidR="00154024" w:rsidRPr="00154024" w14:paraId="62C6F1BF" w14:textId="77777777" w:rsidTr="00154024">
        <w:trPr>
          <w:cantSplit/>
          <w:trHeight w:val="958"/>
        </w:trPr>
        <w:tc>
          <w:tcPr>
            <w:tcW w:w="1909" w:type="dxa"/>
            <w:vMerge/>
            <w:shd w:val="clear" w:color="auto" w:fill="auto"/>
          </w:tcPr>
          <w:p w14:paraId="29CFF049" w14:textId="77777777" w:rsidR="002820F1" w:rsidRPr="00154024" w:rsidRDefault="002820F1" w:rsidP="00552C8A">
            <w:pPr>
              <w:spacing w:before="60" w:after="60" w:line="240" w:lineRule="auto"/>
              <w:rPr>
                <w:rFonts w:ascii="Times New Roman" w:hAnsi="Times New Roman" w:cs="Times New Roman"/>
                <w:sz w:val="24"/>
                <w:szCs w:val="24"/>
              </w:rPr>
            </w:pPr>
          </w:p>
        </w:tc>
        <w:tc>
          <w:tcPr>
            <w:tcW w:w="7151" w:type="dxa"/>
            <w:shd w:val="clear" w:color="auto" w:fill="auto"/>
          </w:tcPr>
          <w:p w14:paraId="2941F7AA" w14:textId="49F2C8B2" w:rsidR="002820F1"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Rola Sektorowej Rady ds. Kompetencji została określona w załączniku nr 24 do Regulaminu konkursu i na tej podstawie rekomendujemy określić konieczne zaangażowanie. Biorąc pod uwagę odmienne potrzeby każdego z sektorów, nie ma możliwości określenia jednolitego </w:t>
            </w:r>
            <w:proofErr w:type="gramStart"/>
            <w:r w:rsidRPr="00154024">
              <w:rPr>
                <w:rFonts w:ascii="Times New Roman" w:hAnsi="Times New Roman"/>
                <w:sz w:val="24"/>
                <w:szCs w:val="24"/>
              </w:rPr>
              <w:t>stanowiska co</w:t>
            </w:r>
            <w:proofErr w:type="gramEnd"/>
            <w:r w:rsidRPr="00154024">
              <w:rPr>
                <w:rFonts w:ascii="Times New Roman" w:hAnsi="Times New Roman"/>
                <w:sz w:val="24"/>
                <w:szCs w:val="24"/>
              </w:rPr>
              <w:t xml:space="preserve"> do potrzebnych nakładów pracy i zaangażowania, w związku z czym rekomendujemy aby w harmonogramie realizacji projektu, działania związane z badaniami branżowymi, zostały zaplanowane na cały okres realizacji projektu.  </w:t>
            </w:r>
          </w:p>
        </w:tc>
      </w:tr>
      <w:tr w:rsidR="00154024" w:rsidRPr="00154024" w14:paraId="425A2CFC" w14:textId="77777777" w:rsidTr="00154024">
        <w:trPr>
          <w:cantSplit/>
          <w:trHeight w:val="731"/>
        </w:trPr>
        <w:tc>
          <w:tcPr>
            <w:tcW w:w="1909" w:type="dxa"/>
            <w:vMerge w:val="restart"/>
            <w:shd w:val="clear" w:color="auto" w:fill="auto"/>
          </w:tcPr>
          <w:p w14:paraId="4B9A2B1D" w14:textId="2ECBC85A" w:rsidR="00E215EB"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Pytanie 3</w:t>
            </w:r>
            <w:r w:rsidR="00C74690">
              <w:rPr>
                <w:rFonts w:ascii="Times New Roman" w:hAnsi="Times New Roman" w:cs="Times New Roman"/>
                <w:sz w:val="24"/>
                <w:szCs w:val="24"/>
              </w:rPr>
              <w:t>8</w:t>
            </w:r>
            <w:r w:rsidRPr="00154024">
              <w:rPr>
                <w:rFonts w:ascii="Times New Roman" w:hAnsi="Times New Roman" w:cs="Times New Roman"/>
                <w:sz w:val="24"/>
                <w:szCs w:val="24"/>
              </w:rPr>
              <w:t xml:space="preserve"> (Dochód)</w:t>
            </w:r>
          </w:p>
        </w:tc>
        <w:tc>
          <w:tcPr>
            <w:tcW w:w="7151" w:type="dxa"/>
            <w:shd w:val="clear" w:color="auto" w:fill="auto"/>
          </w:tcPr>
          <w:p w14:paraId="7474DD49" w14:textId="0796C9A0" w:rsidR="002820F1" w:rsidRPr="00154024" w:rsidRDefault="00552C8A" w:rsidP="006F08B1">
            <w:pPr>
              <w:jc w:val="both"/>
              <w:rPr>
                <w:rFonts w:ascii="Times New Roman" w:hAnsi="Times New Roman" w:cs="Times New Roman"/>
                <w:sz w:val="24"/>
                <w:szCs w:val="24"/>
              </w:rPr>
            </w:pPr>
            <w:r w:rsidRPr="00154024">
              <w:rPr>
                <w:rFonts w:ascii="Times New Roman" w:hAnsi="Times New Roman" w:cs="Times New Roman"/>
                <w:sz w:val="24"/>
                <w:szCs w:val="24"/>
              </w:rPr>
              <w:t>Czy Rada Sektorowa może osiągać przychody i opłacać dodatkowe wydarzenia czy działania?</w:t>
            </w:r>
          </w:p>
        </w:tc>
      </w:tr>
      <w:tr w:rsidR="00154024" w:rsidRPr="00154024" w14:paraId="1C1D0BA3" w14:textId="77777777" w:rsidTr="00154024">
        <w:trPr>
          <w:cantSplit/>
          <w:trHeight w:val="958"/>
        </w:trPr>
        <w:tc>
          <w:tcPr>
            <w:tcW w:w="1909" w:type="dxa"/>
            <w:vMerge/>
            <w:shd w:val="clear" w:color="auto" w:fill="auto"/>
          </w:tcPr>
          <w:p w14:paraId="187C95F1" w14:textId="77777777" w:rsidR="002820F1" w:rsidRPr="00154024" w:rsidRDefault="002820F1" w:rsidP="00552C8A">
            <w:pPr>
              <w:spacing w:before="60" w:after="60" w:line="240" w:lineRule="auto"/>
              <w:rPr>
                <w:rFonts w:ascii="Times New Roman" w:hAnsi="Times New Roman" w:cs="Times New Roman"/>
                <w:sz w:val="24"/>
                <w:szCs w:val="24"/>
              </w:rPr>
            </w:pPr>
          </w:p>
        </w:tc>
        <w:tc>
          <w:tcPr>
            <w:tcW w:w="7151" w:type="dxa"/>
            <w:shd w:val="clear" w:color="auto" w:fill="auto"/>
          </w:tcPr>
          <w:p w14:paraId="7E910295" w14:textId="5319766E" w:rsidR="002820F1"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 xml:space="preserve">Zgodnie z </w:t>
            </w:r>
            <w:r w:rsidRPr="00154024">
              <w:rPr>
                <w:rFonts w:ascii="Times New Roman" w:hAnsi="Times New Roman"/>
                <w:iCs/>
                <w:sz w:val="24"/>
                <w:szCs w:val="24"/>
              </w:rPr>
              <w:t>Wytycznymi w zakresie kwalifikowalności wydatków w ramach Europejskiego Funduszu Rozwoju Regionalnego, Europejskiego Funduszu Społecznego oraz Funduszu Spójności na lata 2014-2020</w:t>
            </w:r>
            <w:r w:rsidRPr="00154024">
              <w:rPr>
                <w:rFonts w:ascii="Times New Roman" w:hAnsi="Times New Roman"/>
                <w:sz w:val="24"/>
                <w:szCs w:val="24"/>
              </w:rPr>
              <w:t xml:space="preserve"> dochód (zakładamy, że o „dochód” a nie „przychód” chodziło w pytaniu) jest dopuszczalny w projektach EFS, natomiast pomniejsza on wartość wydatków kwalifikowalnych na etapie oceny wniosku o dofinansowanie lub na etapie wdrażania projektu.</w:t>
            </w:r>
          </w:p>
        </w:tc>
      </w:tr>
      <w:tr w:rsidR="00154024" w:rsidRPr="00154024" w14:paraId="51599750" w14:textId="77777777" w:rsidTr="00154024">
        <w:trPr>
          <w:cantSplit/>
          <w:trHeight w:val="731"/>
        </w:trPr>
        <w:tc>
          <w:tcPr>
            <w:tcW w:w="1909" w:type="dxa"/>
            <w:vMerge w:val="restart"/>
            <w:shd w:val="clear" w:color="auto" w:fill="auto"/>
          </w:tcPr>
          <w:p w14:paraId="72E29DD7" w14:textId="4158CAE5" w:rsidR="00E215EB" w:rsidRPr="00154024" w:rsidRDefault="00552C8A" w:rsidP="00C74690">
            <w:pPr>
              <w:spacing w:before="60" w:after="60" w:line="240" w:lineRule="auto"/>
              <w:rPr>
                <w:rFonts w:ascii="Times New Roman" w:hAnsi="Times New Roman" w:cs="Times New Roman"/>
                <w:sz w:val="24"/>
                <w:szCs w:val="24"/>
              </w:rPr>
            </w:pPr>
            <w:r w:rsidRPr="00154024">
              <w:rPr>
                <w:rFonts w:ascii="Times New Roman" w:hAnsi="Times New Roman" w:cs="Times New Roman"/>
                <w:sz w:val="24"/>
                <w:szCs w:val="24"/>
              </w:rPr>
              <w:t xml:space="preserve">Pytanie </w:t>
            </w:r>
            <w:r w:rsidR="00C74690">
              <w:rPr>
                <w:rFonts w:ascii="Times New Roman" w:hAnsi="Times New Roman" w:cs="Times New Roman"/>
                <w:sz w:val="24"/>
                <w:szCs w:val="24"/>
              </w:rPr>
              <w:t>39</w:t>
            </w:r>
            <w:r w:rsidRPr="00154024">
              <w:rPr>
                <w:rFonts w:ascii="Times New Roman" w:hAnsi="Times New Roman" w:cs="Times New Roman"/>
                <w:sz w:val="24"/>
                <w:szCs w:val="24"/>
              </w:rPr>
              <w:t xml:space="preserve"> (Wkład własny)</w:t>
            </w:r>
          </w:p>
        </w:tc>
        <w:tc>
          <w:tcPr>
            <w:tcW w:w="7151" w:type="dxa"/>
            <w:shd w:val="clear" w:color="auto" w:fill="auto"/>
          </w:tcPr>
          <w:p w14:paraId="7ACE2475" w14:textId="5F729675" w:rsidR="002820F1" w:rsidRPr="00154024" w:rsidRDefault="00552C8A" w:rsidP="006F08B1">
            <w:pPr>
              <w:jc w:val="both"/>
              <w:rPr>
                <w:rFonts w:ascii="Times New Roman" w:hAnsi="Times New Roman" w:cs="Times New Roman"/>
                <w:sz w:val="24"/>
                <w:szCs w:val="24"/>
              </w:rPr>
            </w:pPr>
            <w:r w:rsidRPr="00154024">
              <w:rPr>
                <w:rFonts w:ascii="Times New Roman" w:hAnsi="Times New Roman" w:cs="Times New Roman"/>
                <w:sz w:val="24"/>
                <w:szCs w:val="24"/>
              </w:rPr>
              <w:t>Co oznaczają środki własne Beneficjenta? Czy jest wymagany udział finansowy Beneficjenta?</w:t>
            </w:r>
          </w:p>
        </w:tc>
      </w:tr>
      <w:tr w:rsidR="00154024" w:rsidRPr="00154024" w14:paraId="15598E94" w14:textId="77777777" w:rsidTr="00154024">
        <w:trPr>
          <w:cantSplit/>
          <w:trHeight w:val="958"/>
        </w:trPr>
        <w:tc>
          <w:tcPr>
            <w:tcW w:w="1909" w:type="dxa"/>
            <w:vMerge/>
            <w:shd w:val="clear" w:color="auto" w:fill="auto"/>
          </w:tcPr>
          <w:p w14:paraId="750EA6CF" w14:textId="77777777" w:rsidR="002820F1" w:rsidRPr="00154024" w:rsidRDefault="002820F1" w:rsidP="00552C8A">
            <w:pPr>
              <w:spacing w:before="60" w:after="60" w:line="240" w:lineRule="auto"/>
              <w:rPr>
                <w:rFonts w:ascii="Times New Roman" w:hAnsi="Times New Roman" w:cs="Times New Roman"/>
                <w:sz w:val="24"/>
                <w:szCs w:val="24"/>
              </w:rPr>
            </w:pPr>
          </w:p>
        </w:tc>
        <w:tc>
          <w:tcPr>
            <w:tcW w:w="7151" w:type="dxa"/>
            <w:shd w:val="clear" w:color="auto" w:fill="auto"/>
          </w:tcPr>
          <w:p w14:paraId="68F07F1A" w14:textId="77777777" w:rsidR="00552C8A" w:rsidRPr="00154024" w:rsidRDefault="00552C8A" w:rsidP="00552C8A">
            <w:pPr>
              <w:jc w:val="both"/>
              <w:rPr>
                <w:rFonts w:ascii="Times New Roman" w:eastAsia="Times New Roman" w:hAnsi="Times New Roman" w:cs="Times New Roman"/>
                <w:sz w:val="24"/>
                <w:szCs w:val="24"/>
                <w:lang w:eastAsia="pl-PL"/>
              </w:rPr>
            </w:pPr>
            <w:r w:rsidRPr="00154024">
              <w:rPr>
                <w:rFonts w:ascii="Times New Roman" w:hAnsi="Times New Roman" w:cs="Times New Roman"/>
                <w:sz w:val="24"/>
                <w:szCs w:val="24"/>
              </w:rPr>
              <w:t xml:space="preserve">W dokumentacji konkursowej nie pojawia się pojęcie „środków własnych”. Zakładając, że chodzi tu o wkład własny – zgodnie z definicją podaną w Wytycznych w </w:t>
            </w:r>
            <w:r w:rsidRPr="00154024">
              <w:rPr>
                <w:rFonts w:ascii="Times New Roman" w:hAnsi="Times New Roman" w:cs="Times New Roman"/>
                <w:iCs/>
                <w:sz w:val="24"/>
                <w:szCs w:val="24"/>
              </w:rPr>
              <w:t>zakresie kwalifikowalności wydatków w ramach Europejskiego Funduszu Rozwoju Regionalnego, Europejskiego Funduszu Społecznego oraz Funduszu Spójności na lata 2014-2020</w:t>
            </w:r>
            <w:r w:rsidRPr="00154024">
              <w:rPr>
                <w:rFonts w:ascii="Times New Roman" w:hAnsi="Times New Roman" w:cs="Times New Roman"/>
                <w:sz w:val="24"/>
                <w:szCs w:val="24"/>
              </w:rPr>
              <w:t xml:space="preserve"> są to </w:t>
            </w:r>
            <w:r w:rsidRPr="00154024">
              <w:rPr>
                <w:rFonts w:ascii="Times New Roman" w:eastAsia="Times New Roman" w:hAnsi="Times New Roman" w:cs="Times New Roman"/>
                <w:sz w:val="24"/>
                <w:szCs w:val="24"/>
                <w:lang w:eastAsia="pl-PL"/>
              </w:rPr>
              <w:t>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p>
          <w:p w14:paraId="4E224FBB" w14:textId="5AFC45DD" w:rsidR="002820F1" w:rsidRPr="00154024" w:rsidRDefault="00552C8A" w:rsidP="00552C8A">
            <w:pPr>
              <w:jc w:val="both"/>
              <w:rPr>
                <w:rFonts w:ascii="Times New Roman" w:hAnsi="Times New Roman" w:cs="Times New Roman"/>
                <w:sz w:val="24"/>
                <w:szCs w:val="24"/>
              </w:rPr>
            </w:pPr>
            <w:r w:rsidRPr="00154024">
              <w:rPr>
                <w:rFonts w:ascii="Times New Roman" w:eastAsia="Times New Roman" w:hAnsi="Times New Roman" w:cs="Times New Roman"/>
                <w:sz w:val="24"/>
                <w:szCs w:val="24"/>
                <w:lang w:eastAsia="pl-PL"/>
              </w:rPr>
              <w:t xml:space="preserve">Natomiast </w:t>
            </w:r>
            <w:r w:rsidRPr="00154024">
              <w:rPr>
                <w:rFonts w:ascii="Times New Roman" w:hAnsi="Times New Roman" w:cs="Times New Roman"/>
                <w:sz w:val="24"/>
                <w:szCs w:val="24"/>
              </w:rPr>
              <w:t>Zgodnie z zapisami Szczegółowego Opisu Osi Priorytetowych Programu Operacyjnego Wiedza Edukacja Rozwój 2014-2020 dotyczącymi Działania 2.12 Zwiększenie wiedzy o potrzebach kwalifikacyjno-zawodowych oraz zapisami Regulaminu konkursu (</w:t>
            </w:r>
            <w:proofErr w:type="gramStart"/>
            <w:r w:rsidRPr="00154024">
              <w:rPr>
                <w:rFonts w:ascii="Times New Roman" w:hAnsi="Times New Roman" w:cs="Times New Roman"/>
                <w:sz w:val="24"/>
                <w:szCs w:val="24"/>
              </w:rPr>
              <w:t xml:space="preserve">podrozdział 5.4) , </w:t>
            </w:r>
            <w:proofErr w:type="gramEnd"/>
            <w:r w:rsidRPr="00154024">
              <w:rPr>
                <w:rFonts w:ascii="Times New Roman" w:hAnsi="Times New Roman" w:cs="Times New Roman"/>
                <w:sz w:val="24"/>
                <w:szCs w:val="24"/>
              </w:rPr>
              <w:t xml:space="preserve">maksymalny % dopuszczalny poziom dofinansowania projektu wynosi 100% wartości wydatków kwalifikowalnych projektu w </w:t>
            </w:r>
            <w:proofErr w:type="gramStart"/>
            <w:r w:rsidRPr="00154024">
              <w:rPr>
                <w:rFonts w:ascii="Times New Roman" w:hAnsi="Times New Roman" w:cs="Times New Roman"/>
                <w:sz w:val="24"/>
                <w:szCs w:val="24"/>
              </w:rPr>
              <w:t>związku z czym</w:t>
            </w:r>
            <w:proofErr w:type="gramEnd"/>
            <w:r w:rsidRPr="00154024">
              <w:rPr>
                <w:rFonts w:ascii="Times New Roman" w:hAnsi="Times New Roman" w:cs="Times New Roman"/>
                <w:sz w:val="24"/>
                <w:szCs w:val="24"/>
              </w:rPr>
              <w:t xml:space="preserve"> wkład własny nie jest wymagany.</w:t>
            </w:r>
          </w:p>
        </w:tc>
      </w:tr>
      <w:tr w:rsidR="00154024" w:rsidRPr="00154024" w14:paraId="1EB2F727" w14:textId="77777777" w:rsidTr="00154024">
        <w:trPr>
          <w:cantSplit/>
          <w:trHeight w:val="731"/>
        </w:trPr>
        <w:tc>
          <w:tcPr>
            <w:tcW w:w="1909" w:type="dxa"/>
            <w:vMerge w:val="restart"/>
            <w:shd w:val="clear" w:color="auto" w:fill="auto"/>
          </w:tcPr>
          <w:p w14:paraId="4BEC6687" w14:textId="0DE3F826" w:rsidR="00E215EB" w:rsidRPr="00154024" w:rsidRDefault="00C74690" w:rsidP="00552C8A">
            <w:pPr>
              <w:spacing w:before="60" w:after="60" w:line="240" w:lineRule="auto"/>
              <w:rPr>
                <w:rFonts w:ascii="Times New Roman" w:hAnsi="Times New Roman" w:cs="Times New Roman"/>
                <w:sz w:val="24"/>
                <w:szCs w:val="24"/>
              </w:rPr>
            </w:pPr>
            <w:r>
              <w:rPr>
                <w:rFonts w:ascii="Times New Roman" w:hAnsi="Times New Roman" w:cs="Times New Roman"/>
                <w:sz w:val="24"/>
                <w:szCs w:val="24"/>
              </w:rPr>
              <w:t>Pytanie 40</w:t>
            </w:r>
            <w:r w:rsidR="00552C8A" w:rsidRPr="00154024">
              <w:rPr>
                <w:rFonts w:ascii="Times New Roman" w:hAnsi="Times New Roman" w:cs="Times New Roman"/>
                <w:sz w:val="24"/>
                <w:szCs w:val="24"/>
              </w:rPr>
              <w:t xml:space="preserve"> (Dodatkowe wsparcie)</w:t>
            </w:r>
          </w:p>
        </w:tc>
        <w:tc>
          <w:tcPr>
            <w:tcW w:w="7151" w:type="dxa"/>
            <w:shd w:val="clear" w:color="auto" w:fill="auto"/>
          </w:tcPr>
          <w:p w14:paraId="47262DAC" w14:textId="24E44E31" w:rsidR="002820F1" w:rsidRPr="00154024" w:rsidRDefault="00552C8A" w:rsidP="00CE1314">
            <w:pPr>
              <w:jc w:val="both"/>
              <w:rPr>
                <w:rFonts w:ascii="Times New Roman" w:hAnsi="Times New Roman" w:cs="Times New Roman"/>
                <w:sz w:val="24"/>
                <w:szCs w:val="24"/>
              </w:rPr>
            </w:pPr>
            <w:r w:rsidRPr="00154024">
              <w:rPr>
                <w:rFonts w:ascii="Times New Roman" w:hAnsi="Times New Roman" w:cs="Times New Roman"/>
                <w:sz w:val="24"/>
                <w:szCs w:val="24"/>
              </w:rPr>
              <w:t>Czy Rada będzie mogła występować o dodatkowe finansowanie w trakcie realizacji konkursu?</w:t>
            </w:r>
          </w:p>
        </w:tc>
      </w:tr>
      <w:tr w:rsidR="00154024" w:rsidRPr="00154024" w14:paraId="0D48A773" w14:textId="77777777" w:rsidTr="00154024">
        <w:trPr>
          <w:cantSplit/>
          <w:trHeight w:val="958"/>
        </w:trPr>
        <w:tc>
          <w:tcPr>
            <w:tcW w:w="1909" w:type="dxa"/>
            <w:vMerge/>
            <w:shd w:val="clear" w:color="auto" w:fill="auto"/>
          </w:tcPr>
          <w:p w14:paraId="52C05A93" w14:textId="77777777" w:rsidR="002820F1" w:rsidRPr="00154024" w:rsidRDefault="002820F1" w:rsidP="00552C8A">
            <w:pPr>
              <w:spacing w:before="60" w:after="60" w:line="240" w:lineRule="auto"/>
              <w:rPr>
                <w:rFonts w:ascii="Times New Roman" w:hAnsi="Times New Roman" w:cs="Times New Roman"/>
                <w:sz w:val="24"/>
                <w:szCs w:val="24"/>
              </w:rPr>
            </w:pPr>
          </w:p>
        </w:tc>
        <w:tc>
          <w:tcPr>
            <w:tcW w:w="7151" w:type="dxa"/>
            <w:shd w:val="clear" w:color="auto" w:fill="auto"/>
          </w:tcPr>
          <w:p w14:paraId="56C5C6A5" w14:textId="6FC75183" w:rsidR="00552C8A" w:rsidRPr="00154024" w:rsidRDefault="00CE1314" w:rsidP="00552C8A">
            <w:pPr>
              <w:pStyle w:val="Zwykytekst"/>
              <w:jc w:val="both"/>
              <w:rPr>
                <w:rFonts w:ascii="Times New Roman" w:hAnsi="Times New Roman"/>
                <w:sz w:val="24"/>
                <w:szCs w:val="24"/>
              </w:rPr>
            </w:pPr>
            <w:r>
              <w:rPr>
                <w:rFonts w:ascii="Times New Roman" w:hAnsi="Times New Roman"/>
                <w:sz w:val="24"/>
                <w:szCs w:val="24"/>
              </w:rPr>
              <w:t xml:space="preserve">Z uwagi </w:t>
            </w:r>
            <w:r w:rsidR="00552C8A" w:rsidRPr="00154024">
              <w:rPr>
                <w:rFonts w:ascii="Times New Roman" w:hAnsi="Times New Roman"/>
                <w:sz w:val="24"/>
                <w:szCs w:val="24"/>
              </w:rPr>
              <w:t>przede wszystkim na długi okres trwania projektów, PARP przewidziała możliwość ubiegania się na etapie realizacji projektu przez Sektorową Radę ds. Kompetencji o dodatkowe środki finansowe na realizację nowych zadań.</w:t>
            </w:r>
          </w:p>
          <w:p w14:paraId="7C628D04" w14:textId="77777777" w:rsidR="00552C8A" w:rsidRPr="00154024" w:rsidRDefault="00552C8A" w:rsidP="00552C8A">
            <w:pPr>
              <w:pStyle w:val="Zwykytekst"/>
              <w:jc w:val="both"/>
              <w:rPr>
                <w:rFonts w:ascii="Times New Roman" w:hAnsi="Times New Roman"/>
                <w:sz w:val="24"/>
                <w:szCs w:val="24"/>
              </w:rPr>
            </w:pPr>
          </w:p>
          <w:p w14:paraId="0E5DAB1F" w14:textId="77777777" w:rsidR="002820F1" w:rsidRPr="00B417AB" w:rsidRDefault="00552C8A" w:rsidP="00B417AB">
            <w:pPr>
              <w:pStyle w:val="Zwykytekst"/>
              <w:jc w:val="both"/>
              <w:rPr>
                <w:rFonts w:ascii="Times New Roman" w:hAnsi="Times New Roman"/>
                <w:sz w:val="24"/>
                <w:szCs w:val="24"/>
              </w:rPr>
            </w:pPr>
            <w:r w:rsidRPr="00154024">
              <w:rPr>
                <w:rFonts w:ascii="Times New Roman" w:hAnsi="Times New Roman"/>
                <w:sz w:val="24"/>
                <w:szCs w:val="24"/>
              </w:rPr>
              <w:t>Zgodnie z zapisami Załącznika nr 22 do Regulaminu konkursu (wzór umowy o dofinansowanie projektu, §25, ust. 7) – „Instytucja Pośrednicząca, na wniosek Beneficjenta, może zwiększyć kwotę dofinansowania na realizację Projektu, o której mowa w par. 2 ust. 2 umowy o dofinansowanie projektu, w przypadku zwiększenia zakresu merytorycznego Projektu</w:t>
            </w:r>
            <w:r w:rsidRPr="00B417AB">
              <w:rPr>
                <w:rFonts w:ascii="Times New Roman" w:hAnsi="Times New Roman"/>
                <w:sz w:val="24"/>
                <w:szCs w:val="24"/>
              </w:rPr>
              <w:t>.”</w:t>
            </w:r>
          </w:p>
          <w:p w14:paraId="50A60CDF" w14:textId="4C8EFF48" w:rsidR="00B417AB" w:rsidRPr="00154024" w:rsidRDefault="00B417AB" w:rsidP="00B417AB">
            <w:pPr>
              <w:jc w:val="both"/>
              <w:rPr>
                <w:rFonts w:ascii="Times New Roman" w:hAnsi="Times New Roman"/>
                <w:sz w:val="24"/>
                <w:szCs w:val="24"/>
              </w:rPr>
            </w:pPr>
            <w:r w:rsidRPr="00B417AB">
              <w:rPr>
                <w:rFonts w:ascii="Times New Roman" w:hAnsi="Times New Roman" w:cs="Times New Roman"/>
                <w:sz w:val="24"/>
                <w:szCs w:val="24"/>
              </w:rPr>
              <w:t>Jednocześnie PARP nie widzi przeszkód</w:t>
            </w:r>
            <w:r w:rsidR="00CE1314">
              <w:rPr>
                <w:rFonts w:ascii="Times New Roman" w:hAnsi="Times New Roman" w:cs="Times New Roman"/>
                <w:sz w:val="24"/>
                <w:szCs w:val="24"/>
              </w:rPr>
              <w:t>,</w:t>
            </w:r>
            <w:r w:rsidRPr="00B417AB">
              <w:rPr>
                <w:rFonts w:ascii="Times New Roman" w:hAnsi="Times New Roman" w:cs="Times New Roman"/>
                <w:sz w:val="24"/>
                <w:szCs w:val="24"/>
              </w:rPr>
              <w:t xml:space="preserve"> aby Rada realizowała dodatkowe zadania z innych źródeł finansowania niż Działanie 2.12 PO WER.</w:t>
            </w:r>
            <w:r w:rsidRPr="00B417AB">
              <w:rPr>
                <w:sz w:val="24"/>
              </w:rPr>
              <w:t xml:space="preserve">  </w:t>
            </w:r>
          </w:p>
        </w:tc>
      </w:tr>
      <w:tr w:rsidR="00154024" w:rsidRPr="00154024" w14:paraId="5F1F84D2" w14:textId="77777777" w:rsidTr="00154024">
        <w:trPr>
          <w:cantSplit/>
          <w:trHeight w:val="731"/>
        </w:trPr>
        <w:tc>
          <w:tcPr>
            <w:tcW w:w="1909" w:type="dxa"/>
            <w:vMerge w:val="restart"/>
            <w:shd w:val="clear" w:color="auto" w:fill="auto"/>
          </w:tcPr>
          <w:p w14:paraId="07BFB6FB" w14:textId="6C976545" w:rsidR="00E215EB" w:rsidRPr="00154024" w:rsidRDefault="00C74690" w:rsidP="00552C8A">
            <w:pPr>
              <w:spacing w:before="60" w:after="60" w:line="240" w:lineRule="auto"/>
              <w:rPr>
                <w:rFonts w:ascii="Times New Roman" w:hAnsi="Times New Roman" w:cs="Times New Roman"/>
                <w:sz w:val="24"/>
                <w:szCs w:val="24"/>
              </w:rPr>
            </w:pPr>
            <w:r>
              <w:rPr>
                <w:rFonts w:ascii="Times New Roman" w:hAnsi="Times New Roman" w:cs="Times New Roman"/>
                <w:sz w:val="24"/>
                <w:szCs w:val="24"/>
              </w:rPr>
              <w:t>Pytanie 41</w:t>
            </w:r>
            <w:r w:rsidR="00227033">
              <w:rPr>
                <w:rFonts w:ascii="Times New Roman" w:hAnsi="Times New Roman" w:cs="Times New Roman"/>
                <w:sz w:val="24"/>
                <w:szCs w:val="24"/>
              </w:rPr>
              <w:t xml:space="preserve"> (G</w:t>
            </w:r>
            <w:r w:rsidR="00552C8A" w:rsidRPr="00154024">
              <w:rPr>
                <w:rFonts w:ascii="Times New Roman" w:hAnsi="Times New Roman" w:cs="Times New Roman"/>
                <w:sz w:val="24"/>
                <w:szCs w:val="24"/>
              </w:rPr>
              <w:t>rupa docelowa)</w:t>
            </w:r>
          </w:p>
        </w:tc>
        <w:tc>
          <w:tcPr>
            <w:tcW w:w="7151" w:type="dxa"/>
            <w:shd w:val="clear" w:color="auto" w:fill="auto"/>
          </w:tcPr>
          <w:p w14:paraId="60DB7B8C" w14:textId="0E38CC34" w:rsidR="009A4BEC" w:rsidRPr="00154024" w:rsidRDefault="00552C8A" w:rsidP="002820F1">
            <w:pPr>
              <w:jc w:val="both"/>
              <w:rPr>
                <w:rFonts w:ascii="Times New Roman" w:hAnsi="Times New Roman" w:cs="Times New Roman"/>
                <w:sz w:val="24"/>
                <w:szCs w:val="24"/>
              </w:rPr>
            </w:pPr>
            <w:r w:rsidRPr="00154024">
              <w:rPr>
                <w:rFonts w:ascii="Times New Roman" w:hAnsi="Times New Roman" w:cs="Times New Roman"/>
                <w:sz w:val="24"/>
                <w:szCs w:val="24"/>
              </w:rPr>
              <w:t>Co oznacza sformułowanie Reg. Podrozdział 5.3  Grupa docelowa „Ostateczni odbiorcy wsparcia udzielonego na realizację projektu”?</w:t>
            </w:r>
          </w:p>
        </w:tc>
      </w:tr>
      <w:tr w:rsidR="00154024" w:rsidRPr="00154024" w14:paraId="72B05923" w14:textId="77777777" w:rsidTr="00154024">
        <w:trPr>
          <w:cantSplit/>
          <w:trHeight w:val="958"/>
        </w:trPr>
        <w:tc>
          <w:tcPr>
            <w:tcW w:w="1909" w:type="dxa"/>
            <w:vMerge/>
            <w:shd w:val="clear" w:color="auto" w:fill="auto"/>
          </w:tcPr>
          <w:p w14:paraId="573759C2" w14:textId="77777777" w:rsidR="009A4BEC" w:rsidRPr="00154024" w:rsidRDefault="009A4BEC"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017B4FC8" w14:textId="034F70AA" w:rsidR="009A4BEC" w:rsidRPr="00154024" w:rsidRDefault="00552C8A" w:rsidP="00552C8A">
            <w:pPr>
              <w:pStyle w:val="Zwykytekst"/>
              <w:jc w:val="both"/>
              <w:rPr>
                <w:rFonts w:ascii="Times New Roman" w:hAnsi="Times New Roman"/>
                <w:sz w:val="24"/>
                <w:szCs w:val="24"/>
              </w:rPr>
            </w:pPr>
            <w:r w:rsidRPr="00154024">
              <w:rPr>
                <w:rFonts w:ascii="Times New Roman" w:hAnsi="Times New Roman"/>
                <w:sz w:val="24"/>
                <w:szCs w:val="24"/>
              </w:rPr>
              <w:t>Sformułowanie „ostateczni odbiorcy wsparcia udzielonego na realizację projektu polegającego na powołaniu i funkcjonowaniu Sektorowej Rady ds. Kompetencji” oznacza grupę docelową, do której będą kierowane działania realizowane przez Sektorową Radę ds. Kompetencji.</w:t>
            </w:r>
          </w:p>
        </w:tc>
      </w:tr>
      <w:tr w:rsidR="00154024" w:rsidRPr="00154024" w14:paraId="08D2E2EF" w14:textId="77777777" w:rsidTr="00154024">
        <w:trPr>
          <w:cantSplit/>
          <w:trHeight w:val="958"/>
        </w:trPr>
        <w:tc>
          <w:tcPr>
            <w:tcW w:w="1909" w:type="dxa"/>
            <w:vMerge w:val="restart"/>
            <w:shd w:val="clear" w:color="auto" w:fill="auto"/>
          </w:tcPr>
          <w:p w14:paraId="2076E98A" w14:textId="4BA91F4C" w:rsidR="00154024" w:rsidRPr="00154024" w:rsidRDefault="00C74690" w:rsidP="00CC177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42</w:t>
            </w:r>
            <w:r w:rsidR="00227033">
              <w:rPr>
                <w:rFonts w:ascii="Times New Roman" w:hAnsi="Times New Roman" w:cs="Times New Roman"/>
                <w:sz w:val="24"/>
                <w:szCs w:val="24"/>
              </w:rPr>
              <w:t xml:space="preserve"> (Punktacja)</w:t>
            </w:r>
          </w:p>
        </w:tc>
        <w:tc>
          <w:tcPr>
            <w:tcW w:w="7151" w:type="dxa"/>
            <w:shd w:val="clear" w:color="auto" w:fill="auto"/>
          </w:tcPr>
          <w:p w14:paraId="0CEA051D" w14:textId="6EBCFA79" w:rsidR="00154024" w:rsidRPr="00154024" w:rsidRDefault="00154024" w:rsidP="00552C8A">
            <w:pPr>
              <w:pStyle w:val="Zwykytekst"/>
              <w:jc w:val="both"/>
              <w:rPr>
                <w:rFonts w:ascii="Times New Roman" w:hAnsi="Times New Roman"/>
                <w:i/>
                <w:sz w:val="24"/>
                <w:szCs w:val="24"/>
              </w:rPr>
            </w:pPr>
            <w:r w:rsidRPr="00154024">
              <w:rPr>
                <w:rFonts w:ascii="Times New Roman" w:hAnsi="Times New Roman"/>
                <w:sz w:val="24"/>
                <w:szCs w:val="24"/>
              </w:rPr>
              <w:t xml:space="preserve">Jak liczone będą punkty za spełnienie kryterium strategicznego nr 4 w </w:t>
            </w:r>
            <w:proofErr w:type="gramStart"/>
            <w:r w:rsidRPr="00154024">
              <w:rPr>
                <w:rFonts w:ascii="Times New Roman" w:hAnsi="Times New Roman"/>
                <w:sz w:val="24"/>
                <w:szCs w:val="24"/>
              </w:rPr>
              <w:t>przypadku gdy</w:t>
            </w:r>
            <w:proofErr w:type="gramEnd"/>
            <w:r w:rsidRPr="00154024">
              <w:rPr>
                <w:rFonts w:ascii="Times New Roman" w:hAnsi="Times New Roman"/>
                <w:sz w:val="24"/>
                <w:szCs w:val="24"/>
              </w:rPr>
              <w:t xml:space="preserve"> trzech przedsiębiorców (każdy oddzielnie) zrealizowało przedsięwzięcie pod nazwą "organizacja praktyk/staży dla uczniów/studentów/absolwentów"? Czy w takim przypadku - zgodnie z brzmieniem treści kryterium - liczba uzyskanych punktów to 6 (3 przedsięwzięcia zrealizowane przez oddzielne podmioty x 2 punkty).</w:t>
            </w:r>
          </w:p>
        </w:tc>
      </w:tr>
      <w:tr w:rsidR="00154024" w:rsidRPr="00154024" w14:paraId="10FBA4AE" w14:textId="77777777" w:rsidTr="00154024">
        <w:trPr>
          <w:cantSplit/>
          <w:trHeight w:val="958"/>
        </w:trPr>
        <w:tc>
          <w:tcPr>
            <w:tcW w:w="1909" w:type="dxa"/>
            <w:vMerge/>
            <w:shd w:val="clear" w:color="auto" w:fill="auto"/>
          </w:tcPr>
          <w:p w14:paraId="1D58A38C" w14:textId="77777777" w:rsidR="00154024" w:rsidRPr="00154024" w:rsidRDefault="00154024"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76925A07" w14:textId="77777777" w:rsidR="00154024" w:rsidRPr="00154024" w:rsidRDefault="00154024" w:rsidP="00154024">
            <w:pPr>
              <w:pStyle w:val="Akapitzlist"/>
              <w:ind w:left="0"/>
              <w:jc w:val="both"/>
              <w:rPr>
                <w:rFonts w:ascii="Times New Roman" w:hAnsi="Times New Roman"/>
                <w:sz w:val="24"/>
                <w:szCs w:val="24"/>
              </w:rPr>
            </w:pPr>
            <w:r w:rsidRPr="00154024">
              <w:rPr>
                <w:rFonts w:ascii="Times New Roman" w:hAnsi="Times New Roman"/>
                <w:sz w:val="24"/>
                <w:szCs w:val="24"/>
              </w:rPr>
              <w:t xml:space="preserve">Zgodnie z zapisami Załącznika nr 11 do Regulaminu konkursu kryterium strategiczne nr 4 w brzmieniu: „Liczba zrealizowanych przedsięwzięć przez przedsiębiorców sektora w obszarze współpracy z edukacją formalną bądź pozaformalną w okresie 5 lat przed terminem złożenia wniosku” będzie oceniane na podstawie złożonego wraz z wnioskiem o dofinansowanie oświadczenia Wnioskodawcy i Partnerów (o ile dotyczy) zawierającego wykaz zrealizowanych przedsięwzięć przez przedsiębiorców w obszarze współpracy z edukacją  formalną bądź pozaformalną wg wzoru stanowiącego Załącznik nr 20 do Regulaminu, podpisanego przez osoby upoważnione do reprezentowania odpowiednio Wnioskodawcy i </w:t>
            </w:r>
            <w:proofErr w:type="gramStart"/>
            <w:r w:rsidRPr="00154024">
              <w:rPr>
                <w:rFonts w:ascii="Times New Roman" w:hAnsi="Times New Roman"/>
                <w:sz w:val="24"/>
                <w:szCs w:val="24"/>
              </w:rPr>
              <w:t>Partnerów (jeśli</w:t>
            </w:r>
            <w:proofErr w:type="gramEnd"/>
            <w:r w:rsidRPr="00154024">
              <w:rPr>
                <w:rFonts w:ascii="Times New Roman" w:hAnsi="Times New Roman"/>
                <w:sz w:val="24"/>
                <w:szCs w:val="24"/>
              </w:rPr>
              <w:t xml:space="preserve"> dotyczy) wraz z zaświadczeniami od instytucji edukacyjnych potwierdzających współpracę z danym przedsiębiorcą. </w:t>
            </w:r>
          </w:p>
          <w:p w14:paraId="6C86F897" w14:textId="50B6F383" w:rsidR="00154024" w:rsidRPr="00154024" w:rsidRDefault="00154024" w:rsidP="00154024">
            <w:pPr>
              <w:pStyle w:val="Akapitzlist"/>
              <w:ind w:left="0"/>
              <w:jc w:val="both"/>
              <w:rPr>
                <w:rFonts w:ascii="Times New Roman" w:hAnsi="Times New Roman"/>
                <w:i/>
                <w:sz w:val="24"/>
                <w:szCs w:val="24"/>
              </w:rPr>
            </w:pPr>
            <w:r w:rsidRPr="00154024">
              <w:rPr>
                <w:rFonts w:ascii="Times New Roman" w:hAnsi="Times New Roman"/>
                <w:sz w:val="24"/>
                <w:szCs w:val="24"/>
              </w:rPr>
              <w:t xml:space="preserve">W </w:t>
            </w:r>
            <w:proofErr w:type="gramStart"/>
            <w:r w:rsidRPr="00154024">
              <w:rPr>
                <w:rFonts w:ascii="Times New Roman" w:hAnsi="Times New Roman"/>
                <w:sz w:val="24"/>
                <w:szCs w:val="24"/>
              </w:rPr>
              <w:t>przypadku gdy</w:t>
            </w:r>
            <w:proofErr w:type="gramEnd"/>
            <w:r w:rsidRPr="00154024">
              <w:rPr>
                <w:rFonts w:ascii="Times New Roman" w:hAnsi="Times New Roman"/>
                <w:sz w:val="24"/>
                <w:szCs w:val="24"/>
              </w:rPr>
              <w:t xml:space="preserve"> każde z 3 przedsięwzięć spełni wszystkie wymagania przedmiotowego kryterium, Wnioskodawca otrzyma łącznie 6 punktów, tj. po 2 punkty za jedno przedsięwzięcie.</w:t>
            </w:r>
          </w:p>
        </w:tc>
      </w:tr>
      <w:tr w:rsidR="00154024" w:rsidRPr="00154024" w14:paraId="0C8B026F" w14:textId="77777777" w:rsidTr="00154024">
        <w:trPr>
          <w:cantSplit/>
          <w:trHeight w:val="958"/>
        </w:trPr>
        <w:tc>
          <w:tcPr>
            <w:tcW w:w="1909" w:type="dxa"/>
            <w:vMerge w:val="restart"/>
            <w:shd w:val="clear" w:color="auto" w:fill="auto"/>
          </w:tcPr>
          <w:p w14:paraId="03A41D5C" w14:textId="71CEA020" w:rsidR="00154024" w:rsidRPr="00154024" w:rsidRDefault="00C74690" w:rsidP="00CC177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43</w:t>
            </w:r>
            <w:r w:rsidR="00227033">
              <w:rPr>
                <w:rFonts w:ascii="Times New Roman" w:hAnsi="Times New Roman" w:cs="Times New Roman"/>
                <w:sz w:val="24"/>
                <w:szCs w:val="24"/>
              </w:rPr>
              <w:t xml:space="preserve"> (Regulacje Rady)</w:t>
            </w:r>
          </w:p>
        </w:tc>
        <w:tc>
          <w:tcPr>
            <w:tcW w:w="7151" w:type="dxa"/>
            <w:shd w:val="clear" w:color="auto" w:fill="auto"/>
          </w:tcPr>
          <w:p w14:paraId="2BF8B94E" w14:textId="77777777" w:rsidR="00154024" w:rsidRPr="00154024" w:rsidRDefault="00154024" w:rsidP="00154024">
            <w:pPr>
              <w:spacing w:after="0" w:line="240" w:lineRule="auto"/>
              <w:jc w:val="both"/>
              <w:rPr>
                <w:rFonts w:ascii="Times New Roman" w:hAnsi="Times New Roman" w:cs="Times New Roman"/>
                <w:sz w:val="24"/>
                <w:szCs w:val="24"/>
              </w:rPr>
            </w:pPr>
            <w:r w:rsidRPr="00154024">
              <w:rPr>
                <w:rFonts w:ascii="Times New Roman" w:hAnsi="Times New Roman" w:cs="Times New Roman"/>
                <w:sz w:val="24"/>
                <w:szCs w:val="24"/>
              </w:rPr>
              <w:t xml:space="preserve">Prośba o wskazanie dokumentu regulującego rolę PARP i Rady Programowej ds. Kompetencji w Systemie Rad ds. Kompetencji w kontekście organizacji i funkcjonowania SR. Czy są określone </w:t>
            </w:r>
            <w:proofErr w:type="gramStart"/>
            <w:r w:rsidRPr="00154024">
              <w:rPr>
                <w:rFonts w:ascii="Times New Roman" w:hAnsi="Times New Roman" w:cs="Times New Roman"/>
                <w:sz w:val="24"/>
                <w:szCs w:val="24"/>
              </w:rPr>
              <w:t>wymogi co</w:t>
            </w:r>
            <w:proofErr w:type="gramEnd"/>
            <w:r w:rsidRPr="00154024">
              <w:rPr>
                <w:rFonts w:ascii="Times New Roman" w:hAnsi="Times New Roman" w:cs="Times New Roman"/>
                <w:sz w:val="24"/>
                <w:szCs w:val="24"/>
              </w:rPr>
              <w:t xml:space="preserve"> do udziału PARP oraz Rady Programowej w działalności SR?</w:t>
            </w:r>
          </w:p>
          <w:p w14:paraId="4A0713AF" w14:textId="77777777" w:rsidR="00154024" w:rsidRPr="00154024" w:rsidRDefault="00154024" w:rsidP="00552C8A">
            <w:pPr>
              <w:pStyle w:val="Zwykytekst"/>
              <w:jc w:val="both"/>
              <w:rPr>
                <w:rFonts w:ascii="Times New Roman" w:hAnsi="Times New Roman"/>
                <w:i/>
                <w:sz w:val="24"/>
                <w:szCs w:val="24"/>
              </w:rPr>
            </w:pPr>
          </w:p>
        </w:tc>
      </w:tr>
      <w:tr w:rsidR="00154024" w:rsidRPr="00154024" w14:paraId="6AB59820" w14:textId="77777777" w:rsidTr="00154024">
        <w:trPr>
          <w:cantSplit/>
          <w:trHeight w:val="958"/>
        </w:trPr>
        <w:tc>
          <w:tcPr>
            <w:tcW w:w="1909" w:type="dxa"/>
            <w:vMerge/>
            <w:shd w:val="clear" w:color="auto" w:fill="auto"/>
          </w:tcPr>
          <w:p w14:paraId="66CA755D" w14:textId="77777777" w:rsidR="00154024" w:rsidRPr="00154024" w:rsidRDefault="00154024"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000569B9" w14:textId="4C4AF9D0" w:rsidR="00154024" w:rsidRPr="00154024" w:rsidRDefault="00154024" w:rsidP="00154024">
            <w:pPr>
              <w:pStyle w:val="Akapitzlist"/>
              <w:spacing w:after="60"/>
              <w:ind w:left="0"/>
              <w:jc w:val="both"/>
              <w:rPr>
                <w:rFonts w:ascii="Times New Roman" w:hAnsi="Times New Roman"/>
                <w:i/>
                <w:sz w:val="24"/>
                <w:szCs w:val="24"/>
              </w:rPr>
            </w:pPr>
            <w:r w:rsidRPr="00154024">
              <w:rPr>
                <w:rFonts w:ascii="Times New Roman" w:hAnsi="Times New Roman"/>
                <w:sz w:val="24"/>
                <w:szCs w:val="24"/>
              </w:rPr>
              <w:t xml:space="preserve">Brak jest jednego dokumentu regulującego rolę PARP i Rady Programowej ds. Kompetencji w Systemie Rad ds. Kompetencji oraz w działalności Sektorowych Rad ds. Kompetencji. W tym kontekście należy zapoznać się z Rozdziałem 1 – </w:t>
            </w:r>
            <w:r w:rsidRPr="00154024">
              <w:rPr>
                <w:rFonts w:ascii="Times New Roman" w:hAnsi="Times New Roman"/>
                <w:i/>
                <w:iCs/>
                <w:sz w:val="24"/>
                <w:szCs w:val="24"/>
              </w:rPr>
              <w:t>Podstawy prawne</w:t>
            </w:r>
            <w:r w:rsidRPr="00154024">
              <w:rPr>
                <w:rFonts w:ascii="Times New Roman" w:hAnsi="Times New Roman"/>
                <w:sz w:val="24"/>
                <w:szCs w:val="24"/>
              </w:rPr>
              <w:t xml:space="preserve"> Regulaminu konkursu, Szczegółowym Opisem Osi Priorytetowych Programu Wiedza Edukacja Rozwój 2014-2020.</w:t>
            </w:r>
          </w:p>
        </w:tc>
      </w:tr>
      <w:tr w:rsidR="00154024" w:rsidRPr="00154024" w14:paraId="26E2C77C" w14:textId="77777777" w:rsidTr="00154024">
        <w:trPr>
          <w:cantSplit/>
          <w:trHeight w:val="958"/>
        </w:trPr>
        <w:tc>
          <w:tcPr>
            <w:tcW w:w="1909" w:type="dxa"/>
            <w:vMerge w:val="restart"/>
            <w:shd w:val="clear" w:color="auto" w:fill="auto"/>
          </w:tcPr>
          <w:p w14:paraId="2A7D8588" w14:textId="5BB0DABB" w:rsidR="00154024" w:rsidRPr="00154024" w:rsidRDefault="00C74690" w:rsidP="00CC177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Pytanie 44</w:t>
            </w:r>
            <w:r w:rsidR="00227033">
              <w:rPr>
                <w:rFonts w:ascii="Times New Roman" w:hAnsi="Times New Roman" w:cs="Times New Roman"/>
                <w:sz w:val="24"/>
                <w:szCs w:val="24"/>
              </w:rPr>
              <w:t xml:space="preserve"> (Deklaracje współpracy)</w:t>
            </w:r>
          </w:p>
        </w:tc>
        <w:tc>
          <w:tcPr>
            <w:tcW w:w="7151" w:type="dxa"/>
            <w:shd w:val="clear" w:color="auto" w:fill="auto"/>
          </w:tcPr>
          <w:p w14:paraId="5B3BB732" w14:textId="77777777" w:rsidR="00154024" w:rsidRPr="00154024" w:rsidRDefault="00154024" w:rsidP="00154024">
            <w:pPr>
              <w:spacing w:after="0" w:line="240" w:lineRule="auto"/>
              <w:jc w:val="both"/>
              <w:rPr>
                <w:rFonts w:ascii="Times New Roman" w:hAnsi="Times New Roman" w:cs="Times New Roman"/>
                <w:sz w:val="24"/>
                <w:szCs w:val="24"/>
              </w:rPr>
            </w:pPr>
            <w:r w:rsidRPr="00154024">
              <w:rPr>
                <w:rFonts w:ascii="Times New Roman" w:hAnsi="Times New Roman" w:cs="Times New Roman"/>
                <w:sz w:val="24"/>
                <w:szCs w:val="24"/>
              </w:rPr>
              <w:t xml:space="preserve">W kryterium dostępu (merytorycznym) nr 4 wymienione są podmioty, których przedstawiciele muszą złożyć deklarację współpracy z SR.  Aby kryterium było spełnione deklaracje muszą </w:t>
            </w:r>
            <w:proofErr w:type="gramStart"/>
            <w:r w:rsidRPr="00154024">
              <w:rPr>
                <w:rFonts w:ascii="Times New Roman" w:hAnsi="Times New Roman" w:cs="Times New Roman"/>
                <w:sz w:val="24"/>
                <w:szCs w:val="24"/>
              </w:rPr>
              <w:t>złożyć co</w:t>
            </w:r>
            <w:proofErr w:type="gramEnd"/>
            <w:r w:rsidRPr="00154024">
              <w:rPr>
                <w:rFonts w:ascii="Times New Roman" w:hAnsi="Times New Roman" w:cs="Times New Roman"/>
                <w:sz w:val="24"/>
                <w:szCs w:val="24"/>
              </w:rPr>
              <w:t xml:space="preserve"> najmniej 3 z 5 wymienionych grup interesariuszy. Jednocześnie w załączniku nr 19 (Studium wykonalności rady) widnieje informacja o </w:t>
            </w:r>
            <w:r w:rsidRPr="00154024">
              <w:rPr>
                <w:rFonts w:ascii="Times New Roman" w:hAnsi="Times New Roman" w:cs="Times New Roman"/>
                <w:sz w:val="24"/>
                <w:szCs w:val="24"/>
                <w:u w:val="single"/>
              </w:rPr>
              <w:t>premiowaniu projektu</w:t>
            </w:r>
            <w:r w:rsidRPr="00154024">
              <w:rPr>
                <w:rFonts w:ascii="Times New Roman" w:hAnsi="Times New Roman" w:cs="Times New Roman"/>
                <w:sz w:val="24"/>
                <w:szCs w:val="24"/>
              </w:rPr>
              <w:t xml:space="preserve"> dodatkowym 1 punktem w </w:t>
            </w:r>
            <w:proofErr w:type="gramStart"/>
            <w:r w:rsidRPr="00154024">
              <w:rPr>
                <w:rFonts w:ascii="Times New Roman" w:hAnsi="Times New Roman" w:cs="Times New Roman"/>
                <w:sz w:val="24"/>
                <w:szCs w:val="24"/>
              </w:rPr>
              <w:t>przypadku gdy</w:t>
            </w:r>
            <w:proofErr w:type="gramEnd"/>
            <w:r w:rsidRPr="00154024">
              <w:rPr>
                <w:rFonts w:ascii="Times New Roman" w:hAnsi="Times New Roman" w:cs="Times New Roman"/>
                <w:sz w:val="24"/>
                <w:szCs w:val="24"/>
              </w:rPr>
              <w:t xml:space="preserve"> w składzie SR znajdzie się przedstawiciel związków zawodowych. Czy dodatkowy punkt doliczany jest do wniosku o dofinansowanie (w pkt. E Karty oceny merytorycznej nie ma informacji o tego typu premiującej punktacji) czy do SW  w ramach Kryteriów strategicznych (gdzie również nie ma zapisów dotyczących dodatkowych punktów (poza możliwymi 75 pkt za SW) zdobytych dzięki spełnieniu określonych warunków)?</w:t>
            </w:r>
          </w:p>
          <w:p w14:paraId="2C788714" w14:textId="77777777" w:rsidR="00154024" w:rsidRPr="00154024" w:rsidRDefault="00154024" w:rsidP="00552C8A">
            <w:pPr>
              <w:pStyle w:val="Zwykytekst"/>
              <w:jc w:val="both"/>
              <w:rPr>
                <w:rFonts w:ascii="Times New Roman" w:hAnsi="Times New Roman"/>
                <w:i/>
                <w:sz w:val="24"/>
                <w:szCs w:val="24"/>
              </w:rPr>
            </w:pPr>
          </w:p>
        </w:tc>
      </w:tr>
      <w:tr w:rsidR="00154024" w:rsidRPr="00154024" w14:paraId="59AF1FBD" w14:textId="77777777" w:rsidTr="00154024">
        <w:trPr>
          <w:cantSplit/>
          <w:trHeight w:val="958"/>
        </w:trPr>
        <w:tc>
          <w:tcPr>
            <w:tcW w:w="1909" w:type="dxa"/>
            <w:vMerge/>
            <w:shd w:val="clear" w:color="auto" w:fill="auto"/>
          </w:tcPr>
          <w:p w14:paraId="35321AAC" w14:textId="77777777" w:rsidR="00154024" w:rsidRPr="00154024" w:rsidRDefault="00154024"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5E3606C8" w14:textId="6B0F059F" w:rsidR="00154024" w:rsidRPr="00154024" w:rsidRDefault="00154024" w:rsidP="00154024">
            <w:pPr>
              <w:jc w:val="both"/>
              <w:rPr>
                <w:rFonts w:ascii="Times New Roman" w:hAnsi="Times New Roman" w:cs="Times New Roman"/>
                <w:i/>
                <w:sz w:val="24"/>
                <w:szCs w:val="24"/>
              </w:rPr>
            </w:pPr>
            <w:r w:rsidRPr="00154024">
              <w:rPr>
                <w:rFonts w:ascii="Times New Roman" w:hAnsi="Times New Roman" w:cs="Times New Roman"/>
                <w:sz w:val="24"/>
                <w:szCs w:val="24"/>
              </w:rPr>
              <w:t xml:space="preserve">Dodatkowy 1 </w:t>
            </w:r>
            <w:proofErr w:type="gramStart"/>
            <w:r w:rsidRPr="00154024">
              <w:rPr>
                <w:rFonts w:ascii="Times New Roman" w:hAnsi="Times New Roman" w:cs="Times New Roman"/>
                <w:sz w:val="24"/>
                <w:szCs w:val="24"/>
              </w:rPr>
              <w:t>punkt (o którym</w:t>
            </w:r>
            <w:proofErr w:type="gramEnd"/>
            <w:r w:rsidRPr="00154024">
              <w:rPr>
                <w:rFonts w:ascii="Times New Roman" w:hAnsi="Times New Roman" w:cs="Times New Roman"/>
                <w:sz w:val="24"/>
                <w:szCs w:val="24"/>
              </w:rPr>
              <w:t xml:space="preserve"> mowa w Załączniku nr 19 do Regulaminu konkursu) za włączenie w skład Sektorowej Rady ds. Kompetencji związków zawodowych, zostanie wliczony na etapie oceny strategicznej przy analizie Studium Wykonalności (SW) w zakresie punktu 2 </w:t>
            </w:r>
            <w:proofErr w:type="spellStart"/>
            <w:r w:rsidRPr="00154024">
              <w:rPr>
                <w:rFonts w:ascii="Times New Roman" w:hAnsi="Times New Roman" w:cs="Times New Roman"/>
                <w:sz w:val="24"/>
                <w:szCs w:val="24"/>
              </w:rPr>
              <w:t>ppkt</w:t>
            </w:r>
            <w:proofErr w:type="spellEnd"/>
            <w:r w:rsidRPr="00154024">
              <w:rPr>
                <w:rFonts w:ascii="Times New Roman" w:hAnsi="Times New Roman" w:cs="Times New Roman"/>
                <w:sz w:val="24"/>
                <w:szCs w:val="24"/>
              </w:rPr>
              <w:t xml:space="preserve"> 1) </w:t>
            </w:r>
            <w:r w:rsidRPr="00154024">
              <w:rPr>
                <w:rFonts w:ascii="Times New Roman" w:hAnsi="Times New Roman" w:cs="Times New Roman"/>
                <w:i/>
                <w:iCs/>
                <w:sz w:val="24"/>
                <w:szCs w:val="24"/>
              </w:rPr>
              <w:t xml:space="preserve">Sposób powoływania członków SR, w tym zapewnienia reprezentatywności sektora w SR </w:t>
            </w:r>
            <w:r w:rsidRPr="00154024">
              <w:rPr>
                <w:rFonts w:ascii="Times New Roman" w:hAnsi="Times New Roman" w:cs="Times New Roman"/>
                <w:sz w:val="24"/>
                <w:szCs w:val="24"/>
              </w:rPr>
              <w:t xml:space="preserve">i zwiększy liczbę uzyskanych w tej kategorii punktów maksymalnie do 5. Oznacza to, że w </w:t>
            </w:r>
            <w:proofErr w:type="gramStart"/>
            <w:r w:rsidRPr="00154024">
              <w:rPr>
                <w:rFonts w:ascii="Times New Roman" w:hAnsi="Times New Roman" w:cs="Times New Roman"/>
                <w:sz w:val="24"/>
                <w:szCs w:val="24"/>
              </w:rPr>
              <w:t>przypadku gdy</w:t>
            </w:r>
            <w:proofErr w:type="gramEnd"/>
            <w:r w:rsidRPr="00154024">
              <w:rPr>
                <w:rFonts w:ascii="Times New Roman" w:hAnsi="Times New Roman" w:cs="Times New Roman"/>
                <w:sz w:val="24"/>
                <w:szCs w:val="24"/>
              </w:rPr>
              <w:t xml:space="preserve"> Wnioskodawca nie włączy w skład Sektorowej Rady ds. Kompetencji związków zawodowych będzie mógł uzyskać w tej kategorii maksymalnie 4 punkty.</w:t>
            </w:r>
          </w:p>
        </w:tc>
      </w:tr>
      <w:tr w:rsidR="00154024" w:rsidRPr="00154024" w14:paraId="1DF86C30" w14:textId="77777777" w:rsidTr="00154024">
        <w:trPr>
          <w:cantSplit/>
          <w:trHeight w:val="958"/>
        </w:trPr>
        <w:tc>
          <w:tcPr>
            <w:tcW w:w="1909" w:type="dxa"/>
            <w:vMerge w:val="restart"/>
            <w:shd w:val="clear" w:color="auto" w:fill="auto"/>
          </w:tcPr>
          <w:p w14:paraId="493A729F" w14:textId="3FF03ED5" w:rsidR="00154024" w:rsidRPr="00154024" w:rsidRDefault="00C74690" w:rsidP="00CC177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Pytanie 45</w:t>
            </w:r>
            <w:r w:rsidR="00227033">
              <w:rPr>
                <w:rFonts w:ascii="Times New Roman" w:hAnsi="Times New Roman" w:cs="Times New Roman"/>
                <w:sz w:val="24"/>
                <w:szCs w:val="24"/>
              </w:rPr>
              <w:t xml:space="preserve"> (Deklaracje współpracy)</w:t>
            </w:r>
          </w:p>
        </w:tc>
        <w:tc>
          <w:tcPr>
            <w:tcW w:w="7151" w:type="dxa"/>
            <w:shd w:val="clear" w:color="auto" w:fill="auto"/>
          </w:tcPr>
          <w:p w14:paraId="624C2370" w14:textId="0D901555" w:rsidR="00154024" w:rsidRPr="00154024" w:rsidRDefault="00154024" w:rsidP="00154024">
            <w:pPr>
              <w:spacing w:after="0" w:line="240" w:lineRule="auto"/>
              <w:jc w:val="both"/>
              <w:rPr>
                <w:rFonts w:ascii="Times New Roman" w:hAnsi="Times New Roman" w:cs="Times New Roman"/>
                <w:i/>
                <w:sz w:val="24"/>
                <w:szCs w:val="24"/>
              </w:rPr>
            </w:pPr>
            <w:r w:rsidRPr="00154024">
              <w:rPr>
                <w:rFonts w:ascii="Times New Roman" w:hAnsi="Times New Roman" w:cs="Times New Roman"/>
                <w:sz w:val="24"/>
                <w:szCs w:val="24"/>
              </w:rPr>
              <w:t xml:space="preserve">W kryterium dostępu  (merytorycznym) nr 4 wymienione są podmioty, których przedstawiciele muszą złożyć deklarację współpracy z SR.  Aby kryterium było spełnione deklaracje muszą </w:t>
            </w:r>
            <w:proofErr w:type="gramStart"/>
            <w:r w:rsidRPr="00154024">
              <w:rPr>
                <w:rFonts w:ascii="Times New Roman" w:hAnsi="Times New Roman" w:cs="Times New Roman"/>
                <w:sz w:val="24"/>
                <w:szCs w:val="24"/>
              </w:rPr>
              <w:t>złożyć co</w:t>
            </w:r>
            <w:proofErr w:type="gramEnd"/>
            <w:r w:rsidRPr="00154024">
              <w:rPr>
                <w:rFonts w:ascii="Times New Roman" w:hAnsi="Times New Roman" w:cs="Times New Roman"/>
                <w:sz w:val="24"/>
                <w:szCs w:val="24"/>
              </w:rPr>
              <w:t xml:space="preserve"> najmniej 3 z 5 wymienionych grup interesariuszy. Jednocześnie w załączniku nr 19 (Studium wykonalności rady) widnieje informacja o obligatoryjnym uczestnictwie w Radzie przedstawicieli 2 konkretnych typów instytucji (o ile dany rodzaj instytucji funkcjonuje w sektorze) - co w </w:t>
            </w:r>
            <w:proofErr w:type="gramStart"/>
            <w:r w:rsidRPr="00154024">
              <w:rPr>
                <w:rFonts w:ascii="Times New Roman" w:hAnsi="Times New Roman" w:cs="Times New Roman"/>
                <w:sz w:val="24"/>
                <w:szCs w:val="24"/>
              </w:rPr>
              <w:t>przypadku gdy</w:t>
            </w:r>
            <w:proofErr w:type="gramEnd"/>
            <w:r w:rsidRPr="00154024">
              <w:rPr>
                <w:rFonts w:ascii="Times New Roman" w:hAnsi="Times New Roman" w:cs="Times New Roman"/>
                <w:sz w:val="24"/>
                <w:szCs w:val="24"/>
              </w:rPr>
              <w:t xml:space="preserve"> Wnioskodawca zadeklaruje udział 3 podmiotów (będzie to zgodne z kryterium dostępu) ale będą to podmioty niewpisujące się we wspomniane 2 podmioty wskazane w SW?</w:t>
            </w:r>
          </w:p>
        </w:tc>
      </w:tr>
      <w:tr w:rsidR="00154024" w:rsidRPr="00154024" w14:paraId="457775BA" w14:textId="77777777" w:rsidTr="00154024">
        <w:trPr>
          <w:cantSplit/>
          <w:trHeight w:val="958"/>
        </w:trPr>
        <w:tc>
          <w:tcPr>
            <w:tcW w:w="1909" w:type="dxa"/>
            <w:vMerge/>
            <w:shd w:val="clear" w:color="auto" w:fill="auto"/>
          </w:tcPr>
          <w:p w14:paraId="5E5B2183" w14:textId="77777777" w:rsidR="00154024" w:rsidRPr="00154024" w:rsidRDefault="00154024"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7A1712AE" w14:textId="77777777" w:rsidR="00154024" w:rsidRPr="00154024" w:rsidRDefault="00154024" w:rsidP="00154024">
            <w:pPr>
              <w:jc w:val="both"/>
              <w:rPr>
                <w:rFonts w:ascii="Times New Roman" w:hAnsi="Times New Roman" w:cs="Times New Roman"/>
                <w:sz w:val="24"/>
                <w:szCs w:val="24"/>
                <w:u w:val="single"/>
              </w:rPr>
            </w:pPr>
            <w:r w:rsidRPr="00154024">
              <w:rPr>
                <w:rFonts w:ascii="Times New Roman" w:hAnsi="Times New Roman" w:cs="Times New Roman"/>
                <w:sz w:val="24"/>
                <w:szCs w:val="24"/>
                <w:u w:val="single"/>
              </w:rPr>
              <w:t xml:space="preserve">Kryterium dostępu nr 12 brzmi: </w:t>
            </w:r>
          </w:p>
          <w:p w14:paraId="6234971E" w14:textId="77777777" w:rsidR="00154024" w:rsidRPr="00154024" w:rsidRDefault="00154024" w:rsidP="00154024">
            <w:pPr>
              <w:jc w:val="both"/>
              <w:rPr>
                <w:rFonts w:ascii="Times New Roman" w:hAnsi="Times New Roman" w:cs="Times New Roman"/>
                <w:sz w:val="24"/>
                <w:szCs w:val="24"/>
              </w:rPr>
            </w:pPr>
            <w:r w:rsidRPr="00154024">
              <w:rPr>
                <w:rFonts w:ascii="Times New Roman" w:hAnsi="Times New Roman" w:cs="Times New Roman"/>
                <w:sz w:val="24"/>
                <w:szCs w:val="24"/>
              </w:rPr>
              <w:t xml:space="preserve">„ Do wniosku o dofinansowanie projektu zostaną załączone deklaracje </w:t>
            </w:r>
            <w:proofErr w:type="gramStart"/>
            <w:r w:rsidRPr="00154024">
              <w:rPr>
                <w:rFonts w:ascii="Times New Roman" w:hAnsi="Times New Roman" w:cs="Times New Roman"/>
                <w:sz w:val="24"/>
                <w:szCs w:val="24"/>
              </w:rPr>
              <w:t>współpracy od co</w:t>
            </w:r>
            <w:proofErr w:type="gramEnd"/>
            <w:r w:rsidRPr="00154024">
              <w:rPr>
                <w:rFonts w:ascii="Times New Roman" w:hAnsi="Times New Roman" w:cs="Times New Roman"/>
                <w:sz w:val="24"/>
                <w:szCs w:val="24"/>
              </w:rPr>
              <w:t xml:space="preserve"> najmniej 10 różnych potencjalnych członków Sektorowej Rady ds. Kompetencji dla sektora, na rzecz którego składa Projekt zgodnie z poniższą wytyczną.</w:t>
            </w:r>
          </w:p>
          <w:p w14:paraId="1696481F" w14:textId="77777777" w:rsidR="00154024" w:rsidRPr="00154024" w:rsidRDefault="00154024" w:rsidP="00154024">
            <w:pPr>
              <w:jc w:val="both"/>
              <w:rPr>
                <w:rFonts w:ascii="Times New Roman" w:hAnsi="Times New Roman" w:cs="Times New Roman"/>
                <w:sz w:val="24"/>
                <w:szCs w:val="24"/>
              </w:rPr>
            </w:pPr>
            <w:r w:rsidRPr="00154024">
              <w:rPr>
                <w:rFonts w:ascii="Times New Roman" w:hAnsi="Times New Roman" w:cs="Times New Roman"/>
                <w:sz w:val="24"/>
                <w:szCs w:val="24"/>
              </w:rPr>
              <w:t xml:space="preserve">Deklaracje współpracy złożyli przedstawiciele podmiotów </w:t>
            </w:r>
            <w:proofErr w:type="gramStart"/>
            <w:r w:rsidRPr="00154024">
              <w:rPr>
                <w:rFonts w:ascii="Times New Roman" w:hAnsi="Times New Roman" w:cs="Times New Roman"/>
                <w:sz w:val="24"/>
                <w:szCs w:val="24"/>
              </w:rPr>
              <w:t>reprezentujących co</w:t>
            </w:r>
            <w:proofErr w:type="gramEnd"/>
            <w:r w:rsidRPr="00154024">
              <w:rPr>
                <w:rFonts w:ascii="Times New Roman" w:hAnsi="Times New Roman" w:cs="Times New Roman"/>
                <w:sz w:val="24"/>
                <w:szCs w:val="24"/>
              </w:rPr>
              <w:t xml:space="preserve"> najmniej 3 z 5 grup interesariuszy sektora, którego dotyczy Projekt, rekomendowanych przez Wnioskodawcę i partnerów (jeśli dotyczy) do bycia członkami Sektorowej Rady ds. Kompetencji, tj.: </w:t>
            </w:r>
          </w:p>
          <w:p w14:paraId="1E598828" w14:textId="77777777" w:rsidR="00154024" w:rsidRPr="00154024" w:rsidRDefault="00154024" w:rsidP="00154024">
            <w:pPr>
              <w:pStyle w:val="Akapitzlist"/>
              <w:numPr>
                <w:ilvl w:val="0"/>
                <w:numId w:val="45"/>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przedstawiciel</w:t>
            </w:r>
            <w:proofErr w:type="gramEnd"/>
            <w:r w:rsidRPr="00154024">
              <w:rPr>
                <w:rFonts w:ascii="Times New Roman" w:hAnsi="Times New Roman"/>
                <w:sz w:val="24"/>
                <w:szCs w:val="24"/>
              </w:rPr>
              <w:t>/le instytucji kształcenia formalnego bądź pozaformalnego;</w:t>
            </w:r>
          </w:p>
          <w:p w14:paraId="6BC93787" w14:textId="77777777" w:rsidR="00154024" w:rsidRPr="00154024" w:rsidRDefault="00154024" w:rsidP="00154024">
            <w:pPr>
              <w:pStyle w:val="Akapitzlist"/>
              <w:numPr>
                <w:ilvl w:val="0"/>
                <w:numId w:val="45"/>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przedstawiciel</w:t>
            </w:r>
            <w:proofErr w:type="gramEnd"/>
            <w:r w:rsidRPr="00154024">
              <w:rPr>
                <w:rFonts w:ascii="Times New Roman" w:hAnsi="Times New Roman"/>
                <w:sz w:val="24"/>
                <w:szCs w:val="24"/>
              </w:rPr>
              <w:t>/le partnerów społecznych bądź organizacji branżowych bądź związków zawodowych działających na rzecz sektora;</w:t>
            </w:r>
          </w:p>
          <w:p w14:paraId="21641D72" w14:textId="77777777" w:rsidR="00154024" w:rsidRPr="00154024" w:rsidRDefault="00154024" w:rsidP="00154024">
            <w:pPr>
              <w:pStyle w:val="Akapitzlist"/>
              <w:numPr>
                <w:ilvl w:val="0"/>
                <w:numId w:val="45"/>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przedstawiciel</w:t>
            </w:r>
            <w:proofErr w:type="gramEnd"/>
            <w:r w:rsidRPr="00154024">
              <w:rPr>
                <w:rFonts w:ascii="Times New Roman" w:hAnsi="Times New Roman"/>
                <w:sz w:val="24"/>
                <w:szCs w:val="24"/>
              </w:rPr>
              <w:t>/le instytucji pełniący funkcję nadzoru lub regulacyjną;</w:t>
            </w:r>
          </w:p>
          <w:p w14:paraId="18CA6B5E" w14:textId="77777777" w:rsidR="00154024" w:rsidRPr="00154024" w:rsidRDefault="00154024" w:rsidP="00154024">
            <w:pPr>
              <w:pStyle w:val="Akapitzlist"/>
              <w:numPr>
                <w:ilvl w:val="0"/>
                <w:numId w:val="45"/>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przedstawiciel</w:t>
            </w:r>
            <w:proofErr w:type="gramEnd"/>
            <w:r w:rsidRPr="00154024">
              <w:rPr>
                <w:rFonts w:ascii="Times New Roman" w:hAnsi="Times New Roman"/>
                <w:sz w:val="24"/>
                <w:szCs w:val="24"/>
              </w:rPr>
              <w:t xml:space="preserve">/le Rady Rynku Pracy lub Wojewódzkiej Rady Rynku Pracy/Wojewódzkiej Rady Zatrudnienia; </w:t>
            </w:r>
          </w:p>
          <w:p w14:paraId="2885BD88" w14:textId="77777777" w:rsidR="00154024" w:rsidRPr="00154024" w:rsidRDefault="00154024" w:rsidP="00154024">
            <w:pPr>
              <w:pStyle w:val="Akapitzlist"/>
              <w:numPr>
                <w:ilvl w:val="0"/>
                <w:numId w:val="45"/>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przedstawiciel</w:t>
            </w:r>
            <w:proofErr w:type="gramEnd"/>
            <w:r w:rsidRPr="00154024">
              <w:rPr>
                <w:rFonts w:ascii="Times New Roman" w:hAnsi="Times New Roman"/>
                <w:sz w:val="24"/>
                <w:szCs w:val="24"/>
              </w:rPr>
              <w:t>/le przedsiębiorstw – zgodnie ze strukturą danego sektora.”</w:t>
            </w:r>
          </w:p>
          <w:p w14:paraId="726179FE" w14:textId="4A35FEB7" w:rsidR="00154024" w:rsidRPr="00154024" w:rsidRDefault="00154024" w:rsidP="00154024">
            <w:pPr>
              <w:jc w:val="both"/>
              <w:rPr>
                <w:rFonts w:ascii="Times New Roman" w:hAnsi="Times New Roman" w:cs="Times New Roman"/>
                <w:sz w:val="24"/>
                <w:szCs w:val="24"/>
                <w:u w:val="single"/>
              </w:rPr>
            </w:pPr>
            <w:r w:rsidRPr="00154024">
              <w:rPr>
                <w:rFonts w:ascii="Times New Roman" w:hAnsi="Times New Roman" w:cs="Times New Roman"/>
                <w:sz w:val="24"/>
                <w:szCs w:val="24"/>
                <w:u w:val="single"/>
              </w:rPr>
              <w:t xml:space="preserve">Kryterium strategiczne nr </w:t>
            </w:r>
            <w:r w:rsidR="00EA2CD2">
              <w:rPr>
                <w:rFonts w:ascii="Times New Roman" w:hAnsi="Times New Roman" w:cs="Times New Roman"/>
                <w:sz w:val="24"/>
                <w:szCs w:val="24"/>
                <w:u w:val="single"/>
              </w:rPr>
              <w:t>2 Zapisy Studium Wykonalności (</w:t>
            </w:r>
            <w:r w:rsidRPr="00154024">
              <w:rPr>
                <w:rFonts w:ascii="Times New Roman" w:hAnsi="Times New Roman" w:cs="Times New Roman"/>
                <w:sz w:val="24"/>
                <w:szCs w:val="24"/>
                <w:u w:val="single"/>
              </w:rPr>
              <w:t>pkt 1) brzmią:</w:t>
            </w:r>
          </w:p>
          <w:p w14:paraId="2091EF4D" w14:textId="77777777" w:rsidR="00154024" w:rsidRPr="00154024" w:rsidRDefault="00154024" w:rsidP="00154024">
            <w:pPr>
              <w:jc w:val="both"/>
              <w:rPr>
                <w:rFonts w:ascii="Times New Roman" w:hAnsi="Times New Roman" w:cs="Times New Roman"/>
                <w:sz w:val="24"/>
                <w:szCs w:val="24"/>
              </w:rPr>
            </w:pPr>
            <w:r w:rsidRPr="00154024">
              <w:rPr>
                <w:rFonts w:ascii="Times New Roman" w:hAnsi="Times New Roman" w:cs="Times New Roman"/>
                <w:sz w:val="24"/>
                <w:szCs w:val="24"/>
              </w:rPr>
              <w:t>Zasady powoływania członków SR (formalne i merytoryczne kryteria kwalifikacji członków rady), w tym sposób zapewnienia reprezentatywności interesariuszy sektora.  W celu wypełnienia powyższego warunku w Radzie muszą znaleźć się przedstawiciele następujących typów instytucji (o ile dany rodzaj instytucji funkcjonuje w sektorze):</w:t>
            </w:r>
          </w:p>
          <w:p w14:paraId="1996115A" w14:textId="77777777" w:rsidR="00154024" w:rsidRPr="00154024" w:rsidRDefault="00154024" w:rsidP="00154024">
            <w:pPr>
              <w:pStyle w:val="Akapitzlist"/>
              <w:numPr>
                <w:ilvl w:val="0"/>
                <w:numId w:val="46"/>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przedsiębiorstwa</w:t>
            </w:r>
            <w:proofErr w:type="gramEnd"/>
            <w:r w:rsidRPr="00154024">
              <w:rPr>
                <w:rFonts w:ascii="Times New Roman" w:hAnsi="Times New Roman"/>
                <w:sz w:val="24"/>
                <w:szCs w:val="24"/>
              </w:rPr>
              <w:t xml:space="preserve"> tworzące sektor / organizacje pracodawców,</w:t>
            </w:r>
          </w:p>
          <w:p w14:paraId="2D245BE6" w14:textId="77777777" w:rsidR="00154024" w:rsidRPr="00154024" w:rsidRDefault="00154024" w:rsidP="00154024">
            <w:pPr>
              <w:pStyle w:val="Akapitzlist"/>
              <w:numPr>
                <w:ilvl w:val="0"/>
                <w:numId w:val="46"/>
              </w:numPr>
              <w:spacing w:after="0" w:line="240" w:lineRule="auto"/>
              <w:contextualSpacing w:val="0"/>
              <w:jc w:val="both"/>
              <w:rPr>
                <w:rFonts w:ascii="Times New Roman" w:hAnsi="Times New Roman"/>
                <w:sz w:val="24"/>
                <w:szCs w:val="24"/>
              </w:rPr>
            </w:pPr>
            <w:proofErr w:type="gramStart"/>
            <w:r w:rsidRPr="00154024">
              <w:rPr>
                <w:rFonts w:ascii="Times New Roman" w:hAnsi="Times New Roman"/>
                <w:sz w:val="24"/>
                <w:szCs w:val="24"/>
              </w:rPr>
              <w:t>instytucje</w:t>
            </w:r>
            <w:proofErr w:type="gramEnd"/>
            <w:r w:rsidRPr="00154024">
              <w:rPr>
                <w:rFonts w:ascii="Times New Roman" w:hAnsi="Times New Roman"/>
                <w:sz w:val="24"/>
                <w:szCs w:val="24"/>
              </w:rPr>
              <w:t xml:space="preserve"> edukacji formalnej lub pozaformalnej prowadzące kształcenie i szkolenie zawodowe na potrzeby danego sektora. (…)</w:t>
            </w:r>
          </w:p>
          <w:p w14:paraId="2D522848" w14:textId="77777777" w:rsidR="00154024" w:rsidRPr="00154024" w:rsidRDefault="00154024" w:rsidP="00154024">
            <w:pPr>
              <w:jc w:val="both"/>
              <w:rPr>
                <w:rFonts w:ascii="Times New Roman" w:hAnsi="Times New Roman" w:cs="Times New Roman"/>
                <w:sz w:val="24"/>
                <w:szCs w:val="24"/>
              </w:rPr>
            </w:pPr>
            <w:r w:rsidRPr="00154024">
              <w:rPr>
                <w:rFonts w:ascii="Times New Roman" w:hAnsi="Times New Roman" w:cs="Times New Roman"/>
                <w:sz w:val="24"/>
                <w:szCs w:val="24"/>
              </w:rPr>
              <w:t>Jeśli, w pytaniu chodziło o sytuację, w której Wnioskodawca przedstawi, co najmniej 10 deklaracji współpracy od 3 z 5 interesariuszy sektora (a nie 3 podmiotów – jak podano w pytaniu) i nie będą to wymagani przedstawiciele interesariuszy sektora, o których mowa w Studium Wykonalności, wówczas odpowiedź jest następująca:</w:t>
            </w:r>
          </w:p>
          <w:p w14:paraId="43E01A03" w14:textId="77777777" w:rsidR="00154024" w:rsidRPr="00154024" w:rsidRDefault="00154024" w:rsidP="00154024">
            <w:pPr>
              <w:pStyle w:val="Akapitzlist"/>
              <w:numPr>
                <w:ilvl w:val="0"/>
                <w:numId w:val="47"/>
              </w:numPr>
              <w:spacing w:after="0" w:line="240" w:lineRule="auto"/>
              <w:contextualSpacing w:val="0"/>
              <w:jc w:val="both"/>
              <w:rPr>
                <w:rFonts w:ascii="Times New Roman" w:hAnsi="Times New Roman"/>
                <w:sz w:val="24"/>
                <w:szCs w:val="24"/>
              </w:rPr>
            </w:pPr>
            <w:r w:rsidRPr="00154024">
              <w:rPr>
                <w:rFonts w:ascii="Times New Roman" w:hAnsi="Times New Roman"/>
                <w:sz w:val="24"/>
                <w:szCs w:val="24"/>
              </w:rPr>
              <w:t xml:space="preserve">Kryt. dostępu nr 12 będzie weryfikowane na etapie oceny merytorycznej. W kryterium nie wskazano, że dane/dane grupy interesariuszy sektora są priorytetowe i od nich Wnioskodawca obowiązkowo powinien posiadać deklarację współpracy, </w:t>
            </w:r>
            <w:proofErr w:type="gramStart"/>
            <w:r w:rsidRPr="00154024">
              <w:rPr>
                <w:rFonts w:ascii="Times New Roman" w:hAnsi="Times New Roman"/>
                <w:sz w:val="24"/>
                <w:szCs w:val="24"/>
              </w:rPr>
              <w:t>tak więc</w:t>
            </w:r>
            <w:proofErr w:type="gramEnd"/>
            <w:r w:rsidRPr="00154024">
              <w:rPr>
                <w:rFonts w:ascii="Times New Roman" w:hAnsi="Times New Roman"/>
                <w:sz w:val="24"/>
                <w:szCs w:val="24"/>
              </w:rPr>
              <w:t xml:space="preserve"> to Wnioskodawca sam decyduje, od których grup interesariuszy (3 z 5) będzie chciał pozyskać deklaracje współpracy.  </w:t>
            </w:r>
          </w:p>
          <w:p w14:paraId="692181A5" w14:textId="0752C65A" w:rsidR="00154024" w:rsidRPr="00154024" w:rsidRDefault="00154024" w:rsidP="00154024">
            <w:pPr>
              <w:pStyle w:val="Zwykytekst"/>
              <w:jc w:val="both"/>
              <w:rPr>
                <w:rFonts w:ascii="Times New Roman" w:hAnsi="Times New Roman"/>
                <w:i/>
                <w:sz w:val="24"/>
                <w:szCs w:val="24"/>
              </w:rPr>
            </w:pPr>
            <w:r w:rsidRPr="00154024">
              <w:rPr>
                <w:rFonts w:ascii="Times New Roman" w:hAnsi="Times New Roman"/>
                <w:sz w:val="24"/>
                <w:szCs w:val="24"/>
              </w:rPr>
              <w:t>Kryterium strategiczne nr 2  będzie oceniane na podstawie Studium wykonalności</w:t>
            </w:r>
          </w:p>
        </w:tc>
      </w:tr>
      <w:tr w:rsidR="00154024" w:rsidRPr="00154024" w14:paraId="30235CE4" w14:textId="77777777" w:rsidTr="00154024">
        <w:trPr>
          <w:cantSplit/>
          <w:trHeight w:val="699"/>
        </w:trPr>
        <w:tc>
          <w:tcPr>
            <w:tcW w:w="1909" w:type="dxa"/>
            <w:vMerge w:val="restart"/>
            <w:shd w:val="clear" w:color="auto" w:fill="auto"/>
          </w:tcPr>
          <w:p w14:paraId="12EC31CC" w14:textId="7436C6EB" w:rsidR="00154024" w:rsidRPr="00154024" w:rsidRDefault="00154024" w:rsidP="00C74690">
            <w:pPr>
              <w:spacing w:before="60" w:after="60" w:line="240" w:lineRule="auto"/>
              <w:jc w:val="both"/>
              <w:rPr>
                <w:rFonts w:ascii="Times New Roman" w:hAnsi="Times New Roman" w:cs="Times New Roman"/>
                <w:sz w:val="24"/>
                <w:szCs w:val="24"/>
              </w:rPr>
            </w:pPr>
            <w:r w:rsidRPr="00154024">
              <w:rPr>
                <w:rFonts w:ascii="Times New Roman" w:hAnsi="Times New Roman" w:cs="Times New Roman"/>
                <w:sz w:val="24"/>
                <w:szCs w:val="24"/>
              </w:rPr>
              <w:t>Pytanie 4</w:t>
            </w:r>
            <w:r w:rsidR="00C74690">
              <w:rPr>
                <w:rFonts w:ascii="Times New Roman" w:hAnsi="Times New Roman" w:cs="Times New Roman"/>
                <w:sz w:val="24"/>
                <w:szCs w:val="24"/>
              </w:rPr>
              <w:t>6</w:t>
            </w:r>
            <w:r w:rsidR="00227033">
              <w:rPr>
                <w:rFonts w:ascii="Times New Roman" w:hAnsi="Times New Roman" w:cs="Times New Roman"/>
                <w:sz w:val="24"/>
                <w:szCs w:val="24"/>
              </w:rPr>
              <w:t xml:space="preserve"> (Deklaracje współpracy)</w:t>
            </w:r>
          </w:p>
        </w:tc>
        <w:tc>
          <w:tcPr>
            <w:tcW w:w="7151" w:type="dxa"/>
            <w:shd w:val="clear" w:color="auto" w:fill="auto"/>
          </w:tcPr>
          <w:p w14:paraId="0A3F0EB1" w14:textId="38BF630D" w:rsidR="00154024" w:rsidRPr="00154024" w:rsidRDefault="00154024" w:rsidP="00154024">
            <w:pPr>
              <w:spacing w:after="0" w:line="240" w:lineRule="auto"/>
              <w:jc w:val="both"/>
              <w:rPr>
                <w:rFonts w:ascii="Times New Roman" w:hAnsi="Times New Roman" w:cs="Times New Roman"/>
                <w:i/>
                <w:sz w:val="24"/>
                <w:szCs w:val="24"/>
              </w:rPr>
            </w:pPr>
            <w:r w:rsidRPr="00154024">
              <w:rPr>
                <w:rFonts w:ascii="Times New Roman" w:hAnsi="Times New Roman" w:cs="Times New Roman"/>
                <w:sz w:val="24"/>
                <w:szCs w:val="24"/>
              </w:rPr>
              <w:t>Czy wnioskodawca oraz partner są automatycznie członkami SR czy aby zostało to umocowane muszą złożyć deklarację współpracy?</w:t>
            </w:r>
          </w:p>
        </w:tc>
      </w:tr>
      <w:tr w:rsidR="00154024" w:rsidRPr="00154024" w14:paraId="336115F9" w14:textId="77777777" w:rsidTr="00154024">
        <w:trPr>
          <w:cantSplit/>
          <w:trHeight w:val="958"/>
        </w:trPr>
        <w:tc>
          <w:tcPr>
            <w:tcW w:w="1909" w:type="dxa"/>
            <w:vMerge/>
            <w:shd w:val="clear" w:color="auto" w:fill="auto"/>
          </w:tcPr>
          <w:p w14:paraId="57AF6055" w14:textId="77777777" w:rsidR="00154024" w:rsidRPr="00154024" w:rsidRDefault="00154024"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7E0F7DFC" w14:textId="659869E4" w:rsidR="00154024" w:rsidRPr="00154024" w:rsidRDefault="00154024" w:rsidP="00154024">
            <w:pPr>
              <w:jc w:val="both"/>
              <w:rPr>
                <w:rFonts w:ascii="Times New Roman" w:hAnsi="Times New Roman" w:cs="Times New Roman"/>
                <w:i/>
                <w:sz w:val="24"/>
                <w:szCs w:val="24"/>
              </w:rPr>
            </w:pPr>
            <w:r w:rsidRPr="00154024">
              <w:rPr>
                <w:rFonts w:ascii="Times New Roman" w:hAnsi="Times New Roman" w:cs="Times New Roman"/>
                <w:sz w:val="24"/>
                <w:szCs w:val="24"/>
              </w:rPr>
              <w:t xml:space="preserve">Wnioskodawcy i </w:t>
            </w:r>
            <w:proofErr w:type="gramStart"/>
            <w:r w:rsidRPr="00154024">
              <w:rPr>
                <w:rFonts w:ascii="Times New Roman" w:hAnsi="Times New Roman" w:cs="Times New Roman"/>
                <w:sz w:val="24"/>
                <w:szCs w:val="24"/>
              </w:rPr>
              <w:t>Partnerzy (jeśli</w:t>
            </w:r>
            <w:proofErr w:type="gramEnd"/>
            <w:r w:rsidRPr="00154024">
              <w:rPr>
                <w:rFonts w:ascii="Times New Roman" w:hAnsi="Times New Roman" w:cs="Times New Roman"/>
                <w:sz w:val="24"/>
                <w:szCs w:val="24"/>
              </w:rPr>
              <w:t xml:space="preserve"> dotyczy) nie składają deklaracji współpracy, ponieważ z założenia będą członkami Sektorowej Rady ds. Kompetencji</w:t>
            </w:r>
            <w:r w:rsidR="00CE1314">
              <w:rPr>
                <w:rFonts w:ascii="Times New Roman" w:hAnsi="Times New Roman" w:cs="Times New Roman"/>
                <w:sz w:val="24"/>
                <w:szCs w:val="24"/>
              </w:rPr>
              <w:t>,</w:t>
            </w:r>
            <w:r w:rsidRPr="00154024">
              <w:rPr>
                <w:rFonts w:ascii="Times New Roman" w:hAnsi="Times New Roman" w:cs="Times New Roman"/>
                <w:sz w:val="24"/>
                <w:szCs w:val="24"/>
              </w:rPr>
              <w:t xml:space="preserve"> na której utworzenie i funkcjonowanie składają wniosek o dofinansowanie projektu.</w:t>
            </w:r>
          </w:p>
        </w:tc>
      </w:tr>
      <w:tr w:rsidR="00154024" w:rsidRPr="00154024" w14:paraId="7EFEA689" w14:textId="77777777" w:rsidTr="00154024">
        <w:trPr>
          <w:cantSplit/>
          <w:trHeight w:val="784"/>
        </w:trPr>
        <w:tc>
          <w:tcPr>
            <w:tcW w:w="1909" w:type="dxa"/>
            <w:vMerge w:val="restart"/>
            <w:shd w:val="clear" w:color="auto" w:fill="auto"/>
          </w:tcPr>
          <w:p w14:paraId="1AA73A9C" w14:textId="08DE79BF" w:rsidR="00154024" w:rsidRPr="00154024" w:rsidRDefault="00154024" w:rsidP="00C74690">
            <w:pPr>
              <w:spacing w:before="60" w:after="60" w:line="240" w:lineRule="auto"/>
              <w:jc w:val="both"/>
              <w:rPr>
                <w:rFonts w:ascii="Times New Roman" w:hAnsi="Times New Roman" w:cs="Times New Roman"/>
                <w:sz w:val="24"/>
                <w:szCs w:val="24"/>
              </w:rPr>
            </w:pPr>
            <w:r w:rsidRPr="00154024">
              <w:rPr>
                <w:rFonts w:ascii="Times New Roman" w:hAnsi="Times New Roman" w:cs="Times New Roman"/>
                <w:sz w:val="24"/>
                <w:szCs w:val="24"/>
              </w:rPr>
              <w:t>Pytanie 4</w:t>
            </w:r>
            <w:r w:rsidR="00C74690">
              <w:rPr>
                <w:rFonts w:ascii="Times New Roman" w:hAnsi="Times New Roman" w:cs="Times New Roman"/>
                <w:sz w:val="24"/>
                <w:szCs w:val="24"/>
              </w:rPr>
              <w:t>7</w:t>
            </w:r>
            <w:r w:rsidR="00227033">
              <w:rPr>
                <w:rFonts w:ascii="Times New Roman" w:hAnsi="Times New Roman" w:cs="Times New Roman"/>
                <w:sz w:val="24"/>
                <w:szCs w:val="24"/>
              </w:rPr>
              <w:t xml:space="preserve"> </w:t>
            </w:r>
          </w:p>
        </w:tc>
        <w:tc>
          <w:tcPr>
            <w:tcW w:w="7151" w:type="dxa"/>
            <w:shd w:val="clear" w:color="auto" w:fill="auto"/>
          </w:tcPr>
          <w:p w14:paraId="1C803F07" w14:textId="3EB7AC97" w:rsidR="00154024" w:rsidRPr="00154024" w:rsidRDefault="00154024" w:rsidP="00154024">
            <w:pPr>
              <w:spacing w:after="0" w:line="240" w:lineRule="auto"/>
              <w:jc w:val="both"/>
              <w:rPr>
                <w:rFonts w:ascii="Times New Roman" w:hAnsi="Times New Roman" w:cs="Times New Roman"/>
                <w:i/>
                <w:sz w:val="24"/>
                <w:szCs w:val="24"/>
              </w:rPr>
            </w:pPr>
            <w:r w:rsidRPr="00154024">
              <w:rPr>
                <w:rFonts w:ascii="Times New Roman" w:hAnsi="Times New Roman" w:cs="Times New Roman"/>
                <w:sz w:val="24"/>
                <w:szCs w:val="24"/>
              </w:rPr>
              <w:t>Czy akceptowalne będą inne niż "zaświadczenie" dokumenty potwierdzające doświadczenie wskazane w oświadczeniach w Załącznikach nr 14 i 20 do Regulaminu konkursu?</w:t>
            </w:r>
          </w:p>
        </w:tc>
      </w:tr>
      <w:tr w:rsidR="00154024" w:rsidRPr="00154024" w14:paraId="74A6EC18" w14:textId="77777777" w:rsidTr="00154024">
        <w:trPr>
          <w:cantSplit/>
          <w:trHeight w:val="958"/>
        </w:trPr>
        <w:tc>
          <w:tcPr>
            <w:tcW w:w="1909" w:type="dxa"/>
            <w:vMerge/>
            <w:shd w:val="clear" w:color="auto" w:fill="auto"/>
          </w:tcPr>
          <w:p w14:paraId="0A47E26A" w14:textId="77777777" w:rsidR="00154024" w:rsidRPr="00154024" w:rsidRDefault="00154024" w:rsidP="00CC1777">
            <w:pPr>
              <w:spacing w:before="60" w:after="60" w:line="240" w:lineRule="auto"/>
              <w:jc w:val="both"/>
              <w:rPr>
                <w:rFonts w:ascii="Times New Roman" w:hAnsi="Times New Roman" w:cs="Times New Roman"/>
                <w:sz w:val="24"/>
                <w:szCs w:val="24"/>
              </w:rPr>
            </w:pPr>
          </w:p>
        </w:tc>
        <w:tc>
          <w:tcPr>
            <w:tcW w:w="7151" w:type="dxa"/>
            <w:shd w:val="clear" w:color="auto" w:fill="auto"/>
          </w:tcPr>
          <w:p w14:paraId="02C5ADBD" w14:textId="7AA2900D" w:rsidR="00154024" w:rsidRPr="00154024" w:rsidRDefault="00154024" w:rsidP="00154024">
            <w:pPr>
              <w:jc w:val="both"/>
              <w:rPr>
                <w:rFonts w:ascii="Times New Roman" w:hAnsi="Times New Roman" w:cs="Times New Roman"/>
                <w:i/>
                <w:sz w:val="24"/>
                <w:szCs w:val="24"/>
              </w:rPr>
            </w:pPr>
            <w:r w:rsidRPr="00154024">
              <w:rPr>
                <w:rFonts w:ascii="Times New Roman" w:hAnsi="Times New Roman" w:cs="Times New Roman"/>
                <w:sz w:val="24"/>
                <w:szCs w:val="24"/>
              </w:rPr>
              <w:t xml:space="preserve">Zgodnie z zapisami dokumentacji konkursowej, potwierdzeniem informacji zawartych w oświadczeniach Wnioskodawcy i </w:t>
            </w:r>
            <w:proofErr w:type="gramStart"/>
            <w:r w:rsidRPr="00154024">
              <w:rPr>
                <w:rFonts w:ascii="Times New Roman" w:hAnsi="Times New Roman" w:cs="Times New Roman"/>
                <w:sz w:val="24"/>
                <w:szCs w:val="24"/>
              </w:rPr>
              <w:t>Partnerów (jeśli</w:t>
            </w:r>
            <w:proofErr w:type="gramEnd"/>
            <w:r w:rsidRPr="00154024">
              <w:rPr>
                <w:rFonts w:ascii="Times New Roman" w:hAnsi="Times New Roman" w:cs="Times New Roman"/>
                <w:sz w:val="24"/>
                <w:szCs w:val="24"/>
              </w:rPr>
              <w:t xml:space="preserve"> dotyczy) są zaświadczenia podmiotów zewnętrznych potwierdzające doświadczenie wymagane w ramach danego kryterium. Jeśli Wnioskodawca lub </w:t>
            </w:r>
            <w:proofErr w:type="gramStart"/>
            <w:r w:rsidRPr="00154024">
              <w:rPr>
                <w:rFonts w:ascii="Times New Roman" w:hAnsi="Times New Roman" w:cs="Times New Roman"/>
                <w:sz w:val="24"/>
                <w:szCs w:val="24"/>
              </w:rPr>
              <w:t>Partner (jeśli</w:t>
            </w:r>
            <w:proofErr w:type="gramEnd"/>
            <w:r w:rsidRPr="00154024">
              <w:rPr>
                <w:rFonts w:ascii="Times New Roman" w:hAnsi="Times New Roman" w:cs="Times New Roman"/>
                <w:sz w:val="24"/>
                <w:szCs w:val="24"/>
              </w:rPr>
              <w:t xml:space="preserve"> dotyczy) posiada listy referencyjne wystawione po zakończeniu realizacji danej inicjatywy/ przedsięwzięcia, taki dokument będzie traktowany jak zaświadczenie podmiotu zewnętrznego potwierdzające  doświadczenie w ramach danego kryterium, natomiast inne dokumenty, tj. faktury, umowy, regulaminy, statuty, nie będą uznawane jako potwierdzające. Jednocześnie należy zwrócić uwagę, aby zaświadczenia podmiotów zewnętrznych potwierdzały wszystkie informacje wymagane w danym kryterium.</w:t>
            </w:r>
          </w:p>
        </w:tc>
      </w:tr>
    </w:tbl>
    <w:p w14:paraId="1F6A4BDD" w14:textId="77777777" w:rsidR="00302D79" w:rsidRPr="00154024" w:rsidRDefault="00302D79" w:rsidP="001E56B8">
      <w:pPr>
        <w:jc w:val="both"/>
        <w:rPr>
          <w:rFonts w:ascii="Times New Roman" w:hAnsi="Times New Roman" w:cs="Times New Roman"/>
        </w:rPr>
      </w:pPr>
    </w:p>
    <w:sectPr w:rsidR="00302D79" w:rsidRPr="00154024" w:rsidSect="002820F1">
      <w:headerReference w:type="first" r:id="rId12"/>
      <w:pgSz w:w="11906" w:h="16838"/>
      <w:pgMar w:top="839"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F7D1" w14:textId="77777777" w:rsidR="009C7D41" w:rsidRDefault="009C7D41" w:rsidP="006909FE">
      <w:pPr>
        <w:spacing w:after="0" w:line="240" w:lineRule="auto"/>
      </w:pPr>
      <w:r>
        <w:separator/>
      </w:r>
    </w:p>
  </w:endnote>
  <w:endnote w:type="continuationSeparator" w:id="0">
    <w:p w14:paraId="67124AC5" w14:textId="77777777" w:rsidR="009C7D41" w:rsidRDefault="009C7D41" w:rsidP="0069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F6FE" w14:textId="77777777" w:rsidR="009C7D41" w:rsidRDefault="009C7D41" w:rsidP="006909FE">
      <w:pPr>
        <w:spacing w:after="0" w:line="240" w:lineRule="auto"/>
      </w:pPr>
      <w:r>
        <w:separator/>
      </w:r>
    </w:p>
  </w:footnote>
  <w:footnote w:type="continuationSeparator" w:id="0">
    <w:p w14:paraId="1E148802" w14:textId="77777777" w:rsidR="009C7D41" w:rsidRDefault="009C7D41" w:rsidP="0069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87CE" w14:textId="77777777" w:rsidR="00C15B8E" w:rsidRDefault="00C15B8E">
    <w:pPr>
      <w:pStyle w:val="Nagwek"/>
    </w:pPr>
    <w:r>
      <w:rPr>
        <w:noProof/>
        <w:lang w:eastAsia="pl-PL"/>
      </w:rPr>
      <w:drawing>
        <wp:inline distT="0" distB="0" distL="0" distR="0" wp14:anchorId="7725B473" wp14:editId="7C88A9DE">
          <wp:extent cx="5734050" cy="790575"/>
          <wp:effectExtent l="0" t="0" r="0" b="9525"/>
          <wp:docPr id="7" name="Obraz 7"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E6A"/>
    <w:multiLevelType w:val="hybridMultilevel"/>
    <w:tmpl w:val="0A085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B5B59"/>
    <w:multiLevelType w:val="hybridMultilevel"/>
    <w:tmpl w:val="4356C1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735195"/>
    <w:multiLevelType w:val="hybridMultilevel"/>
    <w:tmpl w:val="5AD035B2"/>
    <w:lvl w:ilvl="0" w:tplc="0415000F">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810010"/>
    <w:multiLevelType w:val="hybridMultilevel"/>
    <w:tmpl w:val="4C408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2647A"/>
    <w:multiLevelType w:val="hybridMultilevel"/>
    <w:tmpl w:val="E6585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7218DE"/>
    <w:multiLevelType w:val="hybridMultilevel"/>
    <w:tmpl w:val="006ED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070E2"/>
    <w:multiLevelType w:val="hybridMultilevel"/>
    <w:tmpl w:val="D6806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15A652D"/>
    <w:multiLevelType w:val="hybridMultilevel"/>
    <w:tmpl w:val="79E24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1AE6B0A"/>
    <w:multiLevelType w:val="hybridMultilevel"/>
    <w:tmpl w:val="358A5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D6023"/>
    <w:multiLevelType w:val="hybridMultilevel"/>
    <w:tmpl w:val="BA60A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12733"/>
    <w:multiLevelType w:val="hybridMultilevel"/>
    <w:tmpl w:val="0762A2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ED16650"/>
    <w:multiLevelType w:val="hybridMultilevel"/>
    <w:tmpl w:val="8F2E8516"/>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6206A9"/>
    <w:multiLevelType w:val="hybridMultilevel"/>
    <w:tmpl w:val="764E2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E0CFA"/>
    <w:multiLevelType w:val="multilevel"/>
    <w:tmpl w:val="29A2B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672F33"/>
    <w:multiLevelType w:val="hybridMultilevel"/>
    <w:tmpl w:val="41604C96"/>
    <w:lvl w:ilvl="0" w:tplc="A6BAA0CC">
      <w:start w:val="1"/>
      <w:numFmt w:val="decimal"/>
      <w:lvlText w:val="%1."/>
      <w:lvlJc w:val="left"/>
      <w:pPr>
        <w:ind w:left="735" w:hanging="375"/>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3C0B0F"/>
    <w:multiLevelType w:val="hybridMultilevel"/>
    <w:tmpl w:val="F2E8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4733B9"/>
    <w:multiLevelType w:val="hybridMultilevel"/>
    <w:tmpl w:val="EAEC1D14"/>
    <w:lvl w:ilvl="0" w:tplc="1A92A1F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582C95"/>
    <w:multiLevelType w:val="hybridMultilevel"/>
    <w:tmpl w:val="B3D0DB42"/>
    <w:lvl w:ilvl="0" w:tplc="83E0C882">
      <w:numFmt w:val="bullet"/>
      <w:lvlText w:val="•"/>
      <w:lvlJc w:val="left"/>
      <w:pPr>
        <w:ind w:left="360" w:hanging="360"/>
      </w:pPr>
      <w:rPr>
        <w:rFonts w:ascii="Times New Roman" w:eastAsiaTheme="minorHAnsi"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D84261"/>
    <w:multiLevelType w:val="hybridMultilevel"/>
    <w:tmpl w:val="7220D8AC"/>
    <w:lvl w:ilvl="0" w:tplc="1A92A1F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3F1C90"/>
    <w:multiLevelType w:val="hybridMultilevel"/>
    <w:tmpl w:val="0908F0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640B58"/>
    <w:multiLevelType w:val="hybridMultilevel"/>
    <w:tmpl w:val="AD3A0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FC3CEA"/>
    <w:multiLevelType w:val="hybridMultilevel"/>
    <w:tmpl w:val="498A8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8E0B0C"/>
    <w:multiLevelType w:val="hybridMultilevel"/>
    <w:tmpl w:val="9828D1CE"/>
    <w:lvl w:ilvl="0" w:tplc="1A92A1FA">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E570C"/>
    <w:multiLevelType w:val="hybridMultilevel"/>
    <w:tmpl w:val="41407F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B4D477A"/>
    <w:multiLevelType w:val="hybridMultilevel"/>
    <w:tmpl w:val="D278FA9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5" w15:restartNumberingAfterBreak="0">
    <w:nsid w:val="3BC76E8D"/>
    <w:multiLevelType w:val="hybridMultilevel"/>
    <w:tmpl w:val="C3C4C1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4272AA"/>
    <w:multiLevelType w:val="hybridMultilevel"/>
    <w:tmpl w:val="FC82BC64"/>
    <w:lvl w:ilvl="0" w:tplc="04150001">
      <w:start w:val="1"/>
      <w:numFmt w:val="bullet"/>
      <w:lvlText w:val=""/>
      <w:lvlJc w:val="left"/>
      <w:pPr>
        <w:ind w:left="720" w:hanging="360"/>
      </w:pPr>
      <w:rPr>
        <w:rFonts w:ascii="Symbol" w:hAnsi="Symbol" w:hint="default"/>
      </w:rPr>
    </w:lvl>
    <w:lvl w:ilvl="1" w:tplc="D44A9B48">
      <w:start w:val="2"/>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F81C99"/>
    <w:multiLevelType w:val="hybridMultilevel"/>
    <w:tmpl w:val="33ACD9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725365"/>
    <w:multiLevelType w:val="hybridMultilevel"/>
    <w:tmpl w:val="2A624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061451"/>
    <w:multiLevelType w:val="hybridMultilevel"/>
    <w:tmpl w:val="57886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22111F"/>
    <w:multiLevelType w:val="hybridMultilevel"/>
    <w:tmpl w:val="25F6B6F0"/>
    <w:lvl w:ilvl="0" w:tplc="88F4719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5233283A"/>
    <w:multiLevelType w:val="hybridMultilevel"/>
    <w:tmpl w:val="A5E00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D1E55"/>
    <w:multiLevelType w:val="hybridMultilevel"/>
    <w:tmpl w:val="C3680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6D2F93"/>
    <w:multiLevelType w:val="hybridMultilevel"/>
    <w:tmpl w:val="CD3C1966"/>
    <w:lvl w:ilvl="0" w:tplc="1A92A1FA">
      <w:start w:val="1"/>
      <w:numFmt w:val="decimal"/>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BE65EA6"/>
    <w:multiLevelType w:val="hybridMultilevel"/>
    <w:tmpl w:val="B83EB5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7992D02"/>
    <w:multiLevelType w:val="hybridMultilevel"/>
    <w:tmpl w:val="A1245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280109"/>
    <w:multiLevelType w:val="hybridMultilevel"/>
    <w:tmpl w:val="C168687C"/>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CE0C4C"/>
    <w:multiLevelType w:val="hybridMultilevel"/>
    <w:tmpl w:val="6848F346"/>
    <w:lvl w:ilvl="0" w:tplc="8F5640F2">
      <w:start w:val="1"/>
      <w:numFmt w:val="lowerLetter"/>
      <w:lvlText w:val="%1)"/>
      <w:lvlJc w:val="left"/>
      <w:pPr>
        <w:ind w:left="705" w:hanging="705"/>
      </w:pPr>
      <w:rPr>
        <w:rFonts w:hint="default"/>
      </w:rPr>
    </w:lvl>
    <w:lvl w:ilvl="1" w:tplc="751E97CE">
      <w:start w:val="3"/>
      <w:numFmt w:val="bullet"/>
      <w:lvlText w:val="•"/>
      <w:lvlJc w:val="left"/>
      <w:pPr>
        <w:ind w:left="1425" w:hanging="705"/>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2405A93"/>
    <w:multiLevelType w:val="hybridMultilevel"/>
    <w:tmpl w:val="E7704ABE"/>
    <w:lvl w:ilvl="0" w:tplc="7B8C233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33655E"/>
    <w:multiLevelType w:val="hybridMultilevel"/>
    <w:tmpl w:val="0D141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5633AE9"/>
    <w:multiLevelType w:val="hybridMultilevel"/>
    <w:tmpl w:val="5B4C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8A0D49"/>
    <w:multiLevelType w:val="hybridMultilevel"/>
    <w:tmpl w:val="A13E6D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9337371"/>
    <w:multiLevelType w:val="hybridMultilevel"/>
    <w:tmpl w:val="2B14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2F3956"/>
    <w:multiLevelType w:val="hybridMultilevel"/>
    <w:tmpl w:val="3FE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5"/>
  </w:num>
  <w:num w:numId="3">
    <w:abstractNumId w:val="31"/>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3"/>
  </w:num>
  <w:num w:numId="7">
    <w:abstractNumId w:val="4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num>
  <w:num w:numId="11">
    <w:abstractNumId w:val="21"/>
  </w:num>
  <w:num w:numId="12">
    <w:abstractNumId w:val="19"/>
  </w:num>
  <w:num w:numId="13">
    <w:abstractNumId w:val="41"/>
  </w:num>
  <w:num w:numId="14">
    <w:abstractNumId w:val="8"/>
  </w:num>
  <w:num w:numId="15">
    <w:abstractNumId w:val="22"/>
  </w:num>
  <w:num w:numId="16">
    <w:abstractNumId w:val="18"/>
  </w:num>
  <w:num w:numId="17">
    <w:abstractNumId w:val="16"/>
  </w:num>
  <w:num w:numId="18">
    <w:abstractNumId w:val="33"/>
  </w:num>
  <w:num w:numId="19">
    <w:abstractNumId w:val="2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5"/>
  </w:num>
  <w:num w:numId="28">
    <w:abstractNumId w:val="28"/>
  </w:num>
  <w:num w:numId="29">
    <w:abstractNumId w:val="1"/>
  </w:num>
  <w:num w:numId="30">
    <w:abstractNumId w:val="40"/>
  </w:num>
  <w:num w:numId="31">
    <w:abstractNumId w:val="25"/>
  </w:num>
  <w:num w:numId="32">
    <w:abstractNumId w:val="0"/>
  </w:num>
  <w:num w:numId="33">
    <w:abstractNumId w:val="37"/>
  </w:num>
  <w:num w:numId="34">
    <w:abstractNumId w:val="15"/>
  </w:num>
  <w:num w:numId="35">
    <w:abstractNumId w:val="36"/>
  </w:num>
  <w:num w:numId="36">
    <w:abstractNumId w:val="11"/>
  </w:num>
  <w:num w:numId="37">
    <w:abstractNumId w:val="29"/>
  </w:num>
  <w:num w:numId="38">
    <w:abstractNumId w:val="38"/>
  </w:num>
  <w:num w:numId="39">
    <w:abstractNumId w:val="10"/>
  </w:num>
  <w:num w:numId="40">
    <w:abstractNumId w:val="23"/>
  </w:num>
  <w:num w:numId="41">
    <w:abstractNumId w:val="34"/>
  </w:num>
  <w:num w:numId="42">
    <w:abstractNumId w:val="4"/>
  </w:num>
  <w:num w:numId="43">
    <w:abstractNumId w:val="17"/>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FE"/>
    <w:rsid w:val="00085830"/>
    <w:rsid w:val="000F0FF0"/>
    <w:rsid w:val="00102345"/>
    <w:rsid w:val="0013732F"/>
    <w:rsid w:val="00154024"/>
    <w:rsid w:val="00166276"/>
    <w:rsid w:val="001A38CE"/>
    <w:rsid w:val="001E56B8"/>
    <w:rsid w:val="00215B4B"/>
    <w:rsid w:val="00227033"/>
    <w:rsid w:val="002820F1"/>
    <w:rsid w:val="002A26A2"/>
    <w:rsid w:val="002A5BEE"/>
    <w:rsid w:val="002A7191"/>
    <w:rsid w:val="002E787B"/>
    <w:rsid w:val="002F4225"/>
    <w:rsid w:val="002F7AC1"/>
    <w:rsid w:val="00302D79"/>
    <w:rsid w:val="00314CCC"/>
    <w:rsid w:val="00331149"/>
    <w:rsid w:val="0037395F"/>
    <w:rsid w:val="003A00AC"/>
    <w:rsid w:val="003E4334"/>
    <w:rsid w:val="0042626A"/>
    <w:rsid w:val="00450C26"/>
    <w:rsid w:val="004658C1"/>
    <w:rsid w:val="00465EA8"/>
    <w:rsid w:val="00467F8F"/>
    <w:rsid w:val="00473E11"/>
    <w:rsid w:val="00483770"/>
    <w:rsid w:val="004D243A"/>
    <w:rsid w:val="004F2406"/>
    <w:rsid w:val="00517F6A"/>
    <w:rsid w:val="00546432"/>
    <w:rsid w:val="00552C8A"/>
    <w:rsid w:val="00563227"/>
    <w:rsid w:val="005652A2"/>
    <w:rsid w:val="00577CE3"/>
    <w:rsid w:val="005D5CDD"/>
    <w:rsid w:val="005E21B8"/>
    <w:rsid w:val="0063761E"/>
    <w:rsid w:val="006909FE"/>
    <w:rsid w:val="006A4F85"/>
    <w:rsid w:val="006B2BE6"/>
    <w:rsid w:val="006D5833"/>
    <w:rsid w:val="006F14F0"/>
    <w:rsid w:val="006F1E0F"/>
    <w:rsid w:val="00737C97"/>
    <w:rsid w:val="00745E67"/>
    <w:rsid w:val="0078163D"/>
    <w:rsid w:val="007967BF"/>
    <w:rsid w:val="007F540A"/>
    <w:rsid w:val="007F7D03"/>
    <w:rsid w:val="00832FBC"/>
    <w:rsid w:val="00836D5D"/>
    <w:rsid w:val="00847C58"/>
    <w:rsid w:val="008954BA"/>
    <w:rsid w:val="0091398F"/>
    <w:rsid w:val="009465B9"/>
    <w:rsid w:val="00987050"/>
    <w:rsid w:val="00987855"/>
    <w:rsid w:val="009927B5"/>
    <w:rsid w:val="009A4BEC"/>
    <w:rsid w:val="009C7D41"/>
    <w:rsid w:val="009E12B3"/>
    <w:rsid w:val="00A32EAB"/>
    <w:rsid w:val="00A53C75"/>
    <w:rsid w:val="00AB2FD2"/>
    <w:rsid w:val="00AB3B73"/>
    <w:rsid w:val="00AE4F69"/>
    <w:rsid w:val="00B417AB"/>
    <w:rsid w:val="00B620E8"/>
    <w:rsid w:val="00BF31C3"/>
    <w:rsid w:val="00C15B8E"/>
    <w:rsid w:val="00C17436"/>
    <w:rsid w:val="00C43926"/>
    <w:rsid w:val="00C470F3"/>
    <w:rsid w:val="00C566CC"/>
    <w:rsid w:val="00C74690"/>
    <w:rsid w:val="00C84A93"/>
    <w:rsid w:val="00CA0531"/>
    <w:rsid w:val="00CA326C"/>
    <w:rsid w:val="00CB5499"/>
    <w:rsid w:val="00CC3E06"/>
    <w:rsid w:val="00CC56D4"/>
    <w:rsid w:val="00CE1314"/>
    <w:rsid w:val="00CE576A"/>
    <w:rsid w:val="00D03CD9"/>
    <w:rsid w:val="00D07116"/>
    <w:rsid w:val="00D102E9"/>
    <w:rsid w:val="00D31A3C"/>
    <w:rsid w:val="00D67657"/>
    <w:rsid w:val="00D73CAD"/>
    <w:rsid w:val="00DC197A"/>
    <w:rsid w:val="00DD041B"/>
    <w:rsid w:val="00E215EB"/>
    <w:rsid w:val="00E23CD9"/>
    <w:rsid w:val="00E245F3"/>
    <w:rsid w:val="00E5434C"/>
    <w:rsid w:val="00E9709C"/>
    <w:rsid w:val="00EA2CD2"/>
    <w:rsid w:val="00EA429F"/>
    <w:rsid w:val="00F63DD2"/>
    <w:rsid w:val="00F91B20"/>
    <w:rsid w:val="00FA7279"/>
    <w:rsid w:val="00FD2E4F"/>
    <w:rsid w:val="00FF3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9EAE6B"/>
  <w15:docId w15:val="{BF1CE97C-CD3C-4C2E-8EE2-F1A8F7F8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909FE"/>
    <w:pPr>
      <w:keepNext/>
      <w:spacing w:before="240" w:after="60" w:line="280" w:lineRule="exact"/>
      <w:jc w:val="both"/>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0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9FE"/>
  </w:style>
  <w:style w:type="paragraph" w:styleId="Stopka">
    <w:name w:val="footer"/>
    <w:basedOn w:val="Normalny"/>
    <w:link w:val="StopkaZnak"/>
    <w:uiPriority w:val="99"/>
    <w:unhideWhenUsed/>
    <w:rsid w:val="00690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9FE"/>
  </w:style>
  <w:style w:type="paragraph" w:styleId="NormalnyWeb">
    <w:name w:val="Normal (Web)"/>
    <w:basedOn w:val="Normalny"/>
    <w:semiHidden/>
    <w:rsid w:val="006909FE"/>
    <w:pPr>
      <w:spacing w:before="100" w:beforeAutospacing="1" w:after="100" w:afterAutospacing="1" w:line="288" w:lineRule="auto"/>
    </w:pPr>
    <w:rPr>
      <w:rFonts w:ascii="Verdana" w:eastAsia="Times New Roman" w:hAnsi="Verdana" w:cs="Times New Roman"/>
      <w:color w:val="4A4A4A"/>
      <w:sz w:val="11"/>
      <w:szCs w:val="11"/>
      <w:lang w:eastAsia="pl-PL"/>
    </w:rPr>
  </w:style>
  <w:style w:type="character" w:styleId="Pogrubienie">
    <w:name w:val="Strong"/>
    <w:uiPriority w:val="22"/>
    <w:qFormat/>
    <w:rsid w:val="006909FE"/>
    <w:rPr>
      <w:b/>
      <w:bCs/>
    </w:rPr>
  </w:style>
  <w:style w:type="character" w:customStyle="1" w:styleId="Nagwek1Znak">
    <w:name w:val="Nagłówek 1 Znak"/>
    <w:basedOn w:val="Domylnaczcionkaakapitu"/>
    <w:link w:val="Nagwek1"/>
    <w:rsid w:val="006909FE"/>
    <w:rPr>
      <w:rFonts w:ascii="Cambria" w:eastAsia="Times New Roman" w:hAnsi="Cambria" w:cs="Times New Roman"/>
      <w:b/>
      <w:bCs/>
      <w:kern w:val="32"/>
      <w:sz w:val="32"/>
      <w:szCs w:val="32"/>
      <w:lang w:eastAsia="pl-PL"/>
    </w:rPr>
  </w:style>
  <w:style w:type="paragraph" w:styleId="Akapitzlist">
    <w:name w:val="List Paragraph"/>
    <w:basedOn w:val="Normalny"/>
    <w:link w:val="AkapitzlistZnak"/>
    <w:uiPriority w:val="34"/>
    <w:qFormat/>
    <w:rsid w:val="006909FE"/>
    <w:pPr>
      <w:spacing w:after="200" w:line="276" w:lineRule="auto"/>
      <w:ind w:left="720"/>
      <w:contextualSpacing/>
    </w:pPr>
    <w:rPr>
      <w:rFonts w:ascii="Calibri" w:eastAsia="Calibri" w:hAnsi="Calibri" w:cs="Times New Roman"/>
    </w:rPr>
  </w:style>
  <w:style w:type="paragraph" w:customStyle="1" w:styleId="Default">
    <w:name w:val="Default"/>
    <w:rsid w:val="006909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6909FE"/>
    <w:rPr>
      <w:color w:val="0000FF"/>
      <w:u w:val="single"/>
    </w:rPr>
  </w:style>
  <w:style w:type="character" w:customStyle="1" w:styleId="AkapitzlistZnak">
    <w:name w:val="Akapit z listą Znak"/>
    <w:link w:val="Akapitzlist"/>
    <w:uiPriority w:val="34"/>
    <w:locked/>
    <w:rsid w:val="006909FE"/>
    <w:rPr>
      <w:rFonts w:ascii="Calibri" w:eastAsia="Calibri" w:hAnsi="Calibri" w:cs="Times New Roman"/>
    </w:rPr>
  </w:style>
  <w:style w:type="character" w:styleId="UyteHipercze">
    <w:name w:val="FollowedHyperlink"/>
    <w:basedOn w:val="Domylnaczcionkaakapitu"/>
    <w:uiPriority w:val="99"/>
    <w:semiHidden/>
    <w:unhideWhenUsed/>
    <w:rsid w:val="006909FE"/>
    <w:rPr>
      <w:color w:val="954F72" w:themeColor="followedHyperlink"/>
      <w:u w:val="single"/>
    </w:rPr>
  </w:style>
  <w:style w:type="paragraph" w:styleId="Tekstdymka">
    <w:name w:val="Balloon Text"/>
    <w:basedOn w:val="Normalny"/>
    <w:link w:val="TekstdymkaZnak"/>
    <w:uiPriority w:val="99"/>
    <w:semiHidden/>
    <w:unhideWhenUsed/>
    <w:rsid w:val="00473E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E11"/>
    <w:rPr>
      <w:rFonts w:ascii="Tahoma" w:hAnsi="Tahoma" w:cs="Tahoma"/>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7967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7967B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7967BF"/>
    <w:rPr>
      <w:vertAlign w:val="superscript"/>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uiPriority w:val="99"/>
    <w:semiHidden/>
    <w:locked/>
    <w:rsid w:val="0091398F"/>
    <w:rPr>
      <w:rFonts w:ascii="Calibri" w:hAnsi="Calibri"/>
    </w:rPr>
  </w:style>
  <w:style w:type="character" w:customStyle="1" w:styleId="apple-converted-space">
    <w:name w:val="apple-converted-space"/>
    <w:basedOn w:val="Domylnaczcionkaakapitu"/>
    <w:rsid w:val="006B2BE6"/>
  </w:style>
  <w:style w:type="character" w:styleId="Odwoaniedokomentarza">
    <w:name w:val="annotation reference"/>
    <w:basedOn w:val="Domylnaczcionkaakapitu"/>
    <w:uiPriority w:val="29"/>
    <w:unhideWhenUsed/>
    <w:rsid w:val="005652A2"/>
    <w:rPr>
      <w:sz w:val="16"/>
      <w:szCs w:val="16"/>
    </w:rPr>
  </w:style>
  <w:style w:type="paragraph" w:styleId="Tekstkomentarza">
    <w:name w:val="annotation text"/>
    <w:basedOn w:val="Normalny"/>
    <w:link w:val="TekstkomentarzaZnak"/>
    <w:uiPriority w:val="99"/>
    <w:semiHidden/>
    <w:unhideWhenUsed/>
    <w:rsid w:val="005652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2A2"/>
    <w:rPr>
      <w:sz w:val="20"/>
      <w:szCs w:val="20"/>
    </w:rPr>
  </w:style>
  <w:style w:type="paragraph" w:styleId="Tematkomentarza">
    <w:name w:val="annotation subject"/>
    <w:basedOn w:val="Tekstkomentarza"/>
    <w:next w:val="Tekstkomentarza"/>
    <w:link w:val="TematkomentarzaZnak"/>
    <w:uiPriority w:val="99"/>
    <w:semiHidden/>
    <w:unhideWhenUsed/>
    <w:rsid w:val="005652A2"/>
    <w:rPr>
      <w:b/>
      <w:bCs/>
    </w:rPr>
  </w:style>
  <w:style w:type="character" w:customStyle="1" w:styleId="TematkomentarzaZnak">
    <w:name w:val="Temat komentarza Znak"/>
    <w:basedOn w:val="TekstkomentarzaZnak"/>
    <w:link w:val="Tematkomentarza"/>
    <w:uiPriority w:val="99"/>
    <w:semiHidden/>
    <w:rsid w:val="005652A2"/>
    <w:rPr>
      <w:b/>
      <w:bCs/>
      <w:sz w:val="20"/>
      <w:szCs w:val="20"/>
    </w:rPr>
  </w:style>
  <w:style w:type="paragraph" w:styleId="Zwykytekst">
    <w:name w:val="Plain Text"/>
    <w:basedOn w:val="Normalny"/>
    <w:link w:val="ZwykytekstZnak"/>
    <w:uiPriority w:val="99"/>
    <w:unhideWhenUsed/>
    <w:rsid w:val="009E12B3"/>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9E12B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5735">
      <w:bodyDiv w:val="1"/>
      <w:marLeft w:val="0"/>
      <w:marRight w:val="0"/>
      <w:marTop w:val="0"/>
      <w:marBottom w:val="0"/>
      <w:divBdr>
        <w:top w:val="none" w:sz="0" w:space="0" w:color="auto"/>
        <w:left w:val="none" w:sz="0" w:space="0" w:color="auto"/>
        <w:bottom w:val="none" w:sz="0" w:space="0" w:color="auto"/>
        <w:right w:val="none" w:sz="0" w:space="0" w:color="auto"/>
      </w:divBdr>
    </w:div>
    <w:div w:id="204606097">
      <w:bodyDiv w:val="1"/>
      <w:marLeft w:val="0"/>
      <w:marRight w:val="0"/>
      <w:marTop w:val="0"/>
      <w:marBottom w:val="0"/>
      <w:divBdr>
        <w:top w:val="none" w:sz="0" w:space="0" w:color="auto"/>
        <w:left w:val="none" w:sz="0" w:space="0" w:color="auto"/>
        <w:bottom w:val="none" w:sz="0" w:space="0" w:color="auto"/>
        <w:right w:val="none" w:sz="0" w:space="0" w:color="auto"/>
      </w:divBdr>
    </w:div>
    <w:div w:id="231743650">
      <w:bodyDiv w:val="1"/>
      <w:marLeft w:val="0"/>
      <w:marRight w:val="0"/>
      <w:marTop w:val="0"/>
      <w:marBottom w:val="0"/>
      <w:divBdr>
        <w:top w:val="none" w:sz="0" w:space="0" w:color="auto"/>
        <w:left w:val="none" w:sz="0" w:space="0" w:color="auto"/>
        <w:bottom w:val="none" w:sz="0" w:space="0" w:color="auto"/>
        <w:right w:val="none" w:sz="0" w:space="0" w:color="auto"/>
      </w:divBdr>
    </w:div>
    <w:div w:id="259410534">
      <w:bodyDiv w:val="1"/>
      <w:marLeft w:val="0"/>
      <w:marRight w:val="0"/>
      <w:marTop w:val="0"/>
      <w:marBottom w:val="0"/>
      <w:divBdr>
        <w:top w:val="none" w:sz="0" w:space="0" w:color="auto"/>
        <w:left w:val="none" w:sz="0" w:space="0" w:color="auto"/>
        <w:bottom w:val="none" w:sz="0" w:space="0" w:color="auto"/>
        <w:right w:val="none" w:sz="0" w:space="0" w:color="auto"/>
      </w:divBdr>
    </w:div>
    <w:div w:id="340812885">
      <w:bodyDiv w:val="1"/>
      <w:marLeft w:val="0"/>
      <w:marRight w:val="0"/>
      <w:marTop w:val="0"/>
      <w:marBottom w:val="0"/>
      <w:divBdr>
        <w:top w:val="none" w:sz="0" w:space="0" w:color="auto"/>
        <w:left w:val="none" w:sz="0" w:space="0" w:color="auto"/>
        <w:bottom w:val="none" w:sz="0" w:space="0" w:color="auto"/>
        <w:right w:val="none" w:sz="0" w:space="0" w:color="auto"/>
      </w:divBdr>
    </w:div>
    <w:div w:id="417989729">
      <w:bodyDiv w:val="1"/>
      <w:marLeft w:val="0"/>
      <w:marRight w:val="0"/>
      <w:marTop w:val="0"/>
      <w:marBottom w:val="0"/>
      <w:divBdr>
        <w:top w:val="none" w:sz="0" w:space="0" w:color="auto"/>
        <w:left w:val="none" w:sz="0" w:space="0" w:color="auto"/>
        <w:bottom w:val="none" w:sz="0" w:space="0" w:color="auto"/>
        <w:right w:val="none" w:sz="0" w:space="0" w:color="auto"/>
      </w:divBdr>
    </w:div>
    <w:div w:id="534778073">
      <w:bodyDiv w:val="1"/>
      <w:marLeft w:val="0"/>
      <w:marRight w:val="0"/>
      <w:marTop w:val="0"/>
      <w:marBottom w:val="0"/>
      <w:divBdr>
        <w:top w:val="none" w:sz="0" w:space="0" w:color="auto"/>
        <w:left w:val="none" w:sz="0" w:space="0" w:color="auto"/>
        <w:bottom w:val="none" w:sz="0" w:space="0" w:color="auto"/>
        <w:right w:val="none" w:sz="0" w:space="0" w:color="auto"/>
      </w:divBdr>
    </w:div>
    <w:div w:id="706417319">
      <w:bodyDiv w:val="1"/>
      <w:marLeft w:val="0"/>
      <w:marRight w:val="0"/>
      <w:marTop w:val="0"/>
      <w:marBottom w:val="0"/>
      <w:divBdr>
        <w:top w:val="none" w:sz="0" w:space="0" w:color="auto"/>
        <w:left w:val="none" w:sz="0" w:space="0" w:color="auto"/>
        <w:bottom w:val="none" w:sz="0" w:space="0" w:color="auto"/>
        <w:right w:val="none" w:sz="0" w:space="0" w:color="auto"/>
      </w:divBdr>
    </w:div>
    <w:div w:id="709963975">
      <w:bodyDiv w:val="1"/>
      <w:marLeft w:val="0"/>
      <w:marRight w:val="0"/>
      <w:marTop w:val="0"/>
      <w:marBottom w:val="0"/>
      <w:divBdr>
        <w:top w:val="none" w:sz="0" w:space="0" w:color="auto"/>
        <w:left w:val="none" w:sz="0" w:space="0" w:color="auto"/>
        <w:bottom w:val="none" w:sz="0" w:space="0" w:color="auto"/>
        <w:right w:val="none" w:sz="0" w:space="0" w:color="auto"/>
      </w:divBdr>
    </w:div>
    <w:div w:id="794829408">
      <w:bodyDiv w:val="1"/>
      <w:marLeft w:val="0"/>
      <w:marRight w:val="0"/>
      <w:marTop w:val="0"/>
      <w:marBottom w:val="0"/>
      <w:divBdr>
        <w:top w:val="none" w:sz="0" w:space="0" w:color="auto"/>
        <w:left w:val="none" w:sz="0" w:space="0" w:color="auto"/>
        <w:bottom w:val="none" w:sz="0" w:space="0" w:color="auto"/>
        <w:right w:val="none" w:sz="0" w:space="0" w:color="auto"/>
      </w:divBdr>
    </w:div>
    <w:div w:id="839125551">
      <w:bodyDiv w:val="1"/>
      <w:marLeft w:val="0"/>
      <w:marRight w:val="0"/>
      <w:marTop w:val="0"/>
      <w:marBottom w:val="0"/>
      <w:divBdr>
        <w:top w:val="none" w:sz="0" w:space="0" w:color="auto"/>
        <w:left w:val="none" w:sz="0" w:space="0" w:color="auto"/>
        <w:bottom w:val="none" w:sz="0" w:space="0" w:color="auto"/>
        <w:right w:val="none" w:sz="0" w:space="0" w:color="auto"/>
      </w:divBdr>
    </w:div>
    <w:div w:id="842548066">
      <w:bodyDiv w:val="1"/>
      <w:marLeft w:val="0"/>
      <w:marRight w:val="0"/>
      <w:marTop w:val="0"/>
      <w:marBottom w:val="0"/>
      <w:divBdr>
        <w:top w:val="none" w:sz="0" w:space="0" w:color="auto"/>
        <w:left w:val="none" w:sz="0" w:space="0" w:color="auto"/>
        <w:bottom w:val="none" w:sz="0" w:space="0" w:color="auto"/>
        <w:right w:val="none" w:sz="0" w:space="0" w:color="auto"/>
      </w:divBdr>
    </w:div>
    <w:div w:id="954629782">
      <w:bodyDiv w:val="1"/>
      <w:marLeft w:val="0"/>
      <w:marRight w:val="0"/>
      <w:marTop w:val="0"/>
      <w:marBottom w:val="0"/>
      <w:divBdr>
        <w:top w:val="none" w:sz="0" w:space="0" w:color="auto"/>
        <w:left w:val="none" w:sz="0" w:space="0" w:color="auto"/>
        <w:bottom w:val="none" w:sz="0" w:space="0" w:color="auto"/>
        <w:right w:val="none" w:sz="0" w:space="0" w:color="auto"/>
      </w:divBdr>
    </w:div>
    <w:div w:id="1186671317">
      <w:bodyDiv w:val="1"/>
      <w:marLeft w:val="0"/>
      <w:marRight w:val="0"/>
      <w:marTop w:val="0"/>
      <w:marBottom w:val="0"/>
      <w:divBdr>
        <w:top w:val="none" w:sz="0" w:space="0" w:color="auto"/>
        <w:left w:val="none" w:sz="0" w:space="0" w:color="auto"/>
        <w:bottom w:val="none" w:sz="0" w:space="0" w:color="auto"/>
        <w:right w:val="none" w:sz="0" w:space="0" w:color="auto"/>
      </w:divBdr>
    </w:div>
    <w:div w:id="1263802472">
      <w:bodyDiv w:val="1"/>
      <w:marLeft w:val="0"/>
      <w:marRight w:val="0"/>
      <w:marTop w:val="0"/>
      <w:marBottom w:val="0"/>
      <w:divBdr>
        <w:top w:val="none" w:sz="0" w:space="0" w:color="auto"/>
        <w:left w:val="none" w:sz="0" w:space="0" w:color="auto"/>
        <w:bottom w:val="none" w:sz="0" w:space="0" w:color="auto"/>
        <w:right w:val="none" w:sz="0" w:space="0" w:color="auto"/>
      </w:divBdr>
    </w:div>
    <w:div w:id="1314993313">
      <w:bodyDiv w:val="1"/>
      <w:marLeft w:val="0"/>
      <w:marRight w:val="0"/>
      <w:marTop w:val="0"/>
      <w:marBottom w:val="0"/>
      <w:divBdr>
        <w:top w:val="none" w:sz="0" w:space="0" w:color="auto"/>
        <w:left w:val="none" w:sz="0" w:space="0" w:color="auto"/>
        <w:bottom w:val="none" w:sz="0" w:space="0" w:color="auto"/>
        <w:right w:val="none" w:sz="0" w:space="0" w:color="auto"/>
      </w:divBdr>
    </w:div>
    <w:div w:id="1321153103">
      <w:bodyDiv w:val="1"/>
      <w:marLeft w:val="0"/>
      <w:marRight w:val="0"/>
      <w:marTop w:val="0"/>
      <w:marBottom w:val="0"/>
      <w:divBdr>
        <w:top w:val="none" w:sz="0" w:space="0" w:color="auto"/>
        <w:left w:val="none" w:sz="0" w:space="0" w:color="auto"/>
        <w:bottom w:val="none" w:sz="0" w:space="0" w:color="auto"/>
        <w:right w:val="none" w:sz="0" w:space="0" w:color="auto"/>
      </w:divBdr>
    </w:div>
    <w:div w:id="1389497841">
      <w:bodyDiv w:val="1"/>
      <w:marLeft w:val="0"/>
      <w:marRight w:val="0"/>
      <w:marTop w:val="0"/>
      <w:marBottom w:val="0"/>
      <w:divBdr>
        <w:top w:val="none" w:sz="0" w:space="0" w:color="auto"/>
        <w:left w:val="none" w:sz="0" w:space="0" w:color="auto"/>
        <w:bottom w:val="none" w:sz="0" w:space="0" w:color="auto"/>
        <w:right w:val="none" w:sz="0" w:space="0" w:color="auto"/>
      </w:divBdr>
    </w:div>
    <w:div w:id="1487471827">
      <w:bodyDiv w:val="1"/>
      <w:marLeft w:val="0"/>
      <w:marRight w:val="0"/>
      <w:marTop w:val="0"/>
      <w:marBottom w:val="0"/>
      <w:divBdr>
        <w:top w:val="none" w:sz="0" w:space="0" w:color="auto"/>
        <w:left w:val="none" w:sz="0" w:space="0" w:color="auto"/>
        <w:bottom w:val="none" w:sz="0" w:space="0" w:color="auto"/>
        <w:right w:val="none" w:sz="0" w:space="0" w:color="auto"/>
      </w:divBdr>
    </w:div>
    <w:div w:id="1529490470">
      <w:bodyDiv w:val="1"/>
      <w:marLeft w:val="0"/>
      <w:marRight w:val="0"/>
      <w:marTop w:val="0"/>
      <w:marBottom w:val="0"/>
      <w:divBdr>
        <w:top w:val="none" w:sz="0" w:space="0" w:color="auto"/>
        <w:left w:val="none" w:sz="0" w:space="0" w:color="auto"/>
        <w:bottom w:val="none" w:sz="0" w:space="0" w:color="auto"/>
        <w:right w:val="none" w:sz="0" w:space="0" w:color="auto"/>
      </w:divBdr>
    </w:div>
    <w:div w:id="1559970496">
      <w:bodyDiv w:val="1"/>
      <w:marLeft w:val="0"/>
      <w:marRight w:val="0"/>
      <w:marTop w:val="0"/>
      <w:marBottom w:val="0"/>
      <w:divBdr>
        <w:top w:val="none" w:sz="0" w:space="0" w:color="auto"/>
        <w:left w:val="none" w:sz="0" w:space="0" w:color="auto"/>
        <w:bottom w:val="none" w:sz="0" w:space="0" w:color="auto"/>
        <w:right w:val="none" w:sz="0" w:space="0" w:color="auto"/>
      </w:divBdr>
    </w:div>
    <w:div w:id="1609192868">
      <w:bodyDiv w:val="1"/>
      <w:marLeft w:val="0"/>
      <w:marRight w:val="0"/>
      <w:marTop w:val="0"/>
      <w:marBottom w:val="0"/>
      <w:divBdr>
        <w:top w:val="none" w:sz="0" w:space="0" w:color="auto"/>
        <w:left w:val="none" w:sz="0" w:space="0" w:color="auto"/>
        <w:bottom w:val="none" w:sz="0" w:space="0" w:color="auto"/>
        <w:right w:val="none" w:sz="0" w:space="0" w:color="auto"/>
      </w:divBdr>
    </w:div>
    <w:div w:id="1640961138">
      <w:bodyDiv w:val="1"/>
      <w:marLeft w:val="0"/>
      <w:marRight w:val="0"/>
      <w:marTop w:val="0"/>
      <w:marBottom w:val="0"/>
      <w:divBdr>
        <w:top w:val="none" w:sz="0" w:space="0" w:color="auto"/>
        <w:left w:val="none" w:sz="0" w:space="0" w:color="auto"/>
        <w:bottom w:val="none" w:sz="0" w:space="0" w:color="auto"/>
        <w:right w:val="none" w:sz="0" w:space="0" w:color="auto"/>
      </w:divBdr>
    </w:div>
    <w:div w:id="1700620863">
      <w:bodyDiv w:val="1"/>
      <w:marLeft w:val="0"/>
      <w:marRight w:val="0"/>
      <w:marTop w:val="0"/>
      <w:marBottom w:val="0"/>
      <w:divBdr>
        <w:top w:val="none" w:sz="0" w:space="0" w:color="auto"/>
        <w:left w:val="none" w:sz="0" w:space="0" w:color="auto"/>
        <w:bottom w:val="none" w:sz="0" w:space="0" w:color="auto"/>
        <w:right w:val="none" w:sz="0" w:space="0" w:color="auto"/>
      </w:divBdr>
    </w:div>
    <w:div w:id="1729260399">
      <w:bodyDiv w:val="1"/>
      <w:marLeft w:val="0"/>
      <w:marRight w:val="0"/>
      <w:marTop w:val="0"/>
      <w:marBottom w:val="0"/>
      <w:divBdr>
        <w:top w:val="none" w:sz="0" w:space="0" w:color="auto"/>
        <w:left w:val="none" w:sz="0" w:space="0" w:color="auto"/>
        <w:bottom w:val="none" w:sz="0" w:space="0" w:color="auto"/>
        <w:right w:val="none" w:sz="0" w:space="0" w:color="auto"/>
      </w:divBdr>
    </w:div>
    <w:div w:id="1751123994">
      <w:bodyDiv w:val="1"/>
      <w:marLeft w:val="0"/>
      <w:marRight w:val="0"/>
      <w:marTop w:val="0"/>
      <w:marBottom w:val="0"/>
      <w:divBdr>
        <w:top w:val="none" w:sz="0" w:space="0" w:color="auto"/>
        <w:left w:val="none" w:sz="0" w:space="0" w:color="auto"/>
        <w:bottom w:val="none" w:sz="0" w:space="0" w:color="auto"/>
        <w:right w:val="none" w:sz="0" w:space="0" w:color="auto"/>
      </w:divBdr>
    </w:div>
    <w:div w:id="1876849566">
      <w:bodyDiv w:val="1"/>
      <w:marLeft w:val="0"/>
      <w:marRight w:val="0"/>
      <w:marTop w:val="0"/>
      <w:marBottom w:val="0"/>
      <w:divBdr>
        <w:top w:val="none" w:sz="0" w:space="0" w:color="auto"/>
        <w:left w:val="none" w:sz="0" w:space="0" w:color="auto"/>
        <w:bottom w:val="none" w:sz="0" w:space="0" w:color="auto"/>
        <w:right w:val="none" w:sz="0" w:space="0" w:color="auto"/>
      </w:divBdr>
    </w:div>
    <w:div w:id="1908344360">
      <w:bodyDiv w:val="1"/>
      <w:marLeft w:val="0"/>
      <w:marRight w:val="0"/>
      <w:marTop w:val="0"/>
      <w:marBottom w:val="0"/>
      <w:divBdr>
        <w:top w:val="none" w:sz="0" w:space="0" w:color="auto"/>
        <w:left w:val="none" w:sz="0" w:space="0" w:color="auto"/>
        <w:bottom w:val="none" w:sz="0" w:space="0" w:color="auto"/>
        <w:right w:val="none" w:sz="0" w:space="0" w:color="auto"/>
      </w:divBdr>
    </w:div>
    <w:div w:id="1994604317">
      <w:bodyDiv w:val="1"/>
      <w:marLeft w:val="0"/>
      <w:marRight w:val="0"/>
      <w:marTop w:val="0"/>
      <w:marBottom w:val="0"/>
      <w:divBdr>
        <w:top w:val="none" w:sz="0" w:space="0" w:color="auto"/>
        <w:left w:val="none" w:sz="0" w:space="0" w:color="auto"/>
        <w:bottom w:val="none" w:sz="0" w:space="0" w:color="auto"/>
        <w:right w:val="none" w:sz="0" w:space="0" w:color="auto"/>
      </w:divBdr>
    </w:div>
    <w:div w:id="21170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parp.gov.pl/komunikaty/komunikat-dotyczacy-kryterium-dostepu-nr-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instrukcja.sl2014.gov.pl" TargetMode="External"/><Relationship Id="rId4" Type="http://schemas.openxmlformats.org/officeDocument/2006/relationships/settings" Target="settings.xml"/><Relationship Id="rId9" Type="http://schemas.openxmlformats.org/officeDocument/2006/relationships/hyperlink" Target="https://www.sowa.ef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6FA2-799F-4024-B3B8-6BBFF069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2565</Words>
  <Characters>15396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Karpińska Katarzyna</cp:lastModifiedBy>
  <cp:revision>4</cp:revision>
  <dcterms:created xsi:type="dcterms:W3CDTF">2016-05-11T10:47:00Z</dcterms:created>
  <dcterms:modified xsi:type="dcterms:W3CDTF">2016-05-18T08:00:00Z</dcterms:modified>
</cp:coreProperties>
</file>