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78" w:rsidRPr="00333659" w:rsidRDefault="00C47778" w:rsidP="0033365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5"/>
      <w:bookmarkStart w:id="1" w:name="_Toc375316644"/>
      <w:bookmarkStart w:id="2" w:name="_GoBack"/>
      <w:bookmarkEnd w:id="2"/>
      <w:r w:rsidRPr="00DB2D20">
        <w:rPr>
          <w:rFonts w:cs="Arial"/>
          <w:b/>
        </w:rPr>
        <w:t xml:space="preserve">Załącznik </w:t>
      </w:r>
      <w:r w:rsidR="000225E3">
        <w:rPr>
          <w:rFonts w:cs="Arial"/>
          <w:b/>
        </w:rPr>
        <w:t xml:space="preserve">nr </w:t>
      </w:r>
      <w:r w:rsidR="00AD3DE2">
        <w:rPr>
          <w:rFonts w:cs="Arial"/>
          <w:b/>
        </w:rPr>
        <w:t>2</w:t>
      </w:r>
      <w:r w:rsidR="00391EF4" w:rsidRPr="00DB2D20">
        <w:rPr>
          <w:rFonts w:cs="Arial"/>
          <w:b/>
        </w:rPr>
        <w:t xml:space="preserve"> </w:t>
      </w:r>
      <w:r w:rsidR="000225E3">
        <w:rPr>
          <w:rFonts w:cs="Arial"/>
          <w:b/>
        </w:rPr>
        <w:t xml:space="preserve">do Regulaminu Konkursu </w:t>
      </w:r>
      <w:r w:rsidR="00E07205" w:rsidRPr="00DB2D20">
        <w:rPr>
          <w:rFonts w:cs="Arial"/>
          <w:b/>
        </w:rPr>
        <w:t>–</w:t>
      </w:r>
      <w:r w:rsidRPr="00DB2D20">
        <w:rPr>
          <w:rFonts w:cs="Arial"/>
          <w:b/>
        </w:rPr>
        <w:t xml:space="preserve"> </w:t>
      </w:r>
      <w:r w:rsidR="00E07205" w:rsidRPr="00DB2D20">
        <w:rPr>
          <w:rFonts w:cs="Arial"/>
          <w:b/>
        </w:rPr>
        <w:t>Wzór karty</w:t>
      </w:r>
      <w:r w:rsidRPr="00DB2D20">
        <w:rPr>
          <w:rFonts w:cs="Arial"/>
          <w:b/>
        </w:rPr>
        <w:t xml:space="preserve"> oceny formalnej wniosku o dofinansowanie projektu konkursowego</w:t>
      </w:r>
      <w:r w:rsidR="00E82CE5">
        <w:rPr>
          <w:rFonts w:cs="Arial"/>
          <w:b/>
        </w:rPr>
        <w:t xml:space="preserve"> w ramach PO WER</w:t>
      </w:r>
      <w:bookmarkEnd w:id="0"/>
    </w:p>
    <w:p w:rsidR="00C47778" w:rsidRPr="000B4D2C" w:rsidRDefault="0061452B" w:rsidP="00BF15D2">
      <w:pPr>
        <w:tabs>
          <w:tab w:val="left" w:pos="8280"/>
        </w:tabs>
        <w:jc w:val="center"/>
      </w:pPr>
      <w:bookmarkStart w:id="3" w:name="_Toc222629821"/>
      <w:bookmarkStart w:id="4" w:name="_Toc375316631"/>
      <w:bookmarkStart w:id="5" w:name="_Toc392683145"/>
      <w:bookmarkStart w:id="6" w:name="_Toc392748184"/>
      <w:bookmarkStart w:id="7" w:name="_Toc407716448"/>
      <w:bookmarkStart w:id="8" w:name="_Toc407716800"/>
      <w:bookmarkStart w:id="9" w:name="_Toc407716827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8" w:rsidRPr="00A501F3" w:rsidRDefault="00C47778" w:rsidP="00C47778">
      <w:pPr>
        <w:pStyle w:val="Tekstpodstawowy31"/>
        <w:overflowPunct/>
        <w:autoSpaceDE/>
        <w:autoSpaceDN/>
        <w:adjustRightInd/>
        <w:textAlignment w:val="auto"/>
      </w:pPr>
    </w:p>
    <w:p w:rsidR="00C47778" w:rsidRPr="00306509" w:rsidRDefault="00C47778" w:rsidP="00C4777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="008723C7" w:rsidRPr="009D4DAB">
        <w:rPr>
          <w:rFonts w:ascii="Calibri" w:hAnsi="Calibri" w:cs="Calibri"/>
        </w:rPr>
        <w:t>W RAMACH PO WER</w:t>
      </w:r>
    </w:p>
    <w:p w:rsidR="00C47778" w:rsidRDefault="00C47778" w:rsidP="00C47778">
      <w:pPr>
        <w:spacing w:after="120"/>
        <w:rPr>
          <w:b/>
          <w:kern w:val="24"/>
          <w:sz w:val="18"/>
          <w:szCs w:val="18"/>
        </w:rPr>
      </w:pPr>
    </w:p>
    <w:p w:rsidR="00C47778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</w:t>
      </w:r>
      <w:r w:rsidR="00733281">
        <w:rPr>
          <w:b/>
          <w:kern w:val="24"/>
          <w:sz w:val="18"/>
          <w:szCs w:val="18"/>
        </w:rPr>
        <w:t>ORGANIZUJĄCA KONKURS</w:t>
      </w:r>
      <w:r w:rsidRPr="005C6994">
        <w:rPr>
          <w:b/>
          <w:kern w:val="24"/>
          <w:sz w:val="18"/>
          <w:szCs w:val="18"/>
        </w:rPr>
        <w:t>:</w:t>
      </w:r>
      <w:r w:rsidR="00071798">
        <w:rPr>
          <w:kern w:val="24"/>
          <w:sz w:val="18"/>
          <w:szCs w:val="18"/>
        </w:rPr>
        <w:t>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F11C12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="00C47778" w:rsidRPr="00082BEF">
        <w:rPr>
          <w:b/>
          <w:kern w:val="24"/>
          <w:sz w:val="18"/>
          <w:szCs w:val="18"/>
        </w:rPr>
        <w:t>R KONKURSU</w:t>
      </w:r>
      <w:r w:rsidR="00C47778">
        <w:rPr>
          <w:kern w:val="24"/>
          <w:sz w:val="18"/>
          <w:szCs w:val="18"/>
        </w:rPr>
        <w:t>:……………………………………………………………………………………………………………</w:t>
      </w:r>
      <w:r w:rsidR="00071798">
        <w:rPr>
          <w:kern w:val="24"/>
          <w:sz w:val="18"/>
          <w:szCs w:val="18"/>
        </w:rPr>
        <w:t>…</w:t>
      </w:r>
    </w:p>
    <w:p w:rsidR="008400CD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 w:rsidR="008400CD">
        <w:rPr>
          <w:kern w:val="24"/>
          <w:sz w:val="18"/>
          <w:szCs w:val="18"/>
        </w:rPr>
        <w:t>............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</w:t>
      </w:r>
      <w:r w:rsidR="00071798">
        <w:rPr>
          <w:kern w:val="24"/>
          <w:sz w:val="18"/>
          <w:szCs w:val="18"/>
        </w:rPr>
        <w:t>......</w:t>
      </w:r>
      <w:r w:rsidR="008400CD">
        <w:rPr>
          <w:kern w:val="24"/>
          <w:sz w:val="18"/>
          <w:szCs w:val="18"/>
        </w:rPr>
        <w:t>.....</w:t>
      </w:r>
    </w:p>
    <w:p w:rsidR="008400CD" w:rsidRDefault="00427F81" w:rsidP="00F00EB4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………….</w:t>
      </w:r>
    </w:p>
    <w:p w:rsidR="00C47778" w:rsidRPr="0064163C" w:rsidRDefault="00C47778" w:rsidP="00F00EB4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NAZWA </w:t>
      </w:r>
      <w:r w:rsidR="00357B8C">
        <w:rPr>
          <w:b/>
          <w:kern w:val="24"/>
          <w:sz w:val="18"/>
          <w:szCs w:val="18"/>
        </w:rPr>
        <w:t>WNIOSKO</w:t>
      </w:r>
      <w:r>
        <w:rPr>
          <w:b/>
          <w:kern w:val="24"/>
          <w:sz w:val="18"/>
          <w:szCs w:val="18"/>
        </w:rPr>
        <w:t>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C47778" w:rsidRPr="0064163C" w:rsidRDefault="00C47778" w:rsidP="00F00EB4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405DAA" w:rsidRPr="00A501F3" w:rsidTr="00F00EB4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D0FC7" w:rsidRPr="00F00EB4" w:rsidRDefault="006F7AFF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</w:t>
            </w:r>
            <w:r w:rsidR="000D0FC7" w:rsidRPr="00F00E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0D0FC7" w:rsidRPr="00F00EB4" w:rsidRDefault="000D0FC7" w:rsidP="00AC21B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</w:t>
            </w:r>
            <w:r w:rsidR="00123E31" w:rsidRPr="00F00EB4">
              <w:rPr>
                <w:b/>
                <w:sz w:val="18"/>
                <w:szCs w:val="18"/>
              </w:rPr>
              <w:t>UM</w:t>
            </w:r>
            <w:r w:rsidRPr="00F00EB4">
              <w:rPr>
                <w:b/>
                <w:sz w:val="18"/>
                <w:szCs w:val="18"/>
              </w:rPr>
              <w:t xml:space="preserve"> FORMALNE</w:t>
            </w:r>
            <w:r w:rsidR="00123E31" w:rsidRPr="00F00EB4">
              <w:rPr>
                <w:b/>
                <w:sz w:val="18"/>
                <w:szCs w:val="18"/>
              </w:rPr>
              <w:t xml:space="preserve">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="00535935" w:rsidRPr="00525826">
              <w:rPr>
                <w:b/>
                <w:sz w:val="18"/>
                <w:szCs w:val="18"/>
              </w:rPr>
              <w:t xml:space="preserve"> </w:t>
            </w:r>
            <w:r w:rsidR="00535935"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0D0FC7" w:rsidRPr="00F00EB4" w:rsidRDefault="000D0FC7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0D0FC7" w:rsidRPr="00F00EB4" w:rsidRDefault="00535935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="006B3FB6" w:rsidRPr="00F00EB4">
              <w:rPr>
                <w:b/>
                <w:sz w:val="18"/>
                <w:szCs w:val="18"/>
              </w:rPr>
              <w:t xml:space="preserve"> </w:t>
            </w:r>
            <w:r w:rsidR="006B3FB6" w:rsidRPr="00F00EB4">
              <w:rPr>
                <w:b/>
                <w:sz w:val="18"/>
                <w:szCs w:val="18"/>
              </w:rPr>
              <w:br/>
            </w:r>
            <w:r w:rsidR="006B3FB6" w:rsidRPr="00F00EB4">
              <w:rPr>
                <w:sz w:val="18"/>
                <w:szCs w:val="18"/>
              </w:rPr>
              <w:t>(</w:t>
            </w:r>
            <w:r w:rsidR="006B3FB6" w:rsidRPr="00525826">
              <w:rPr>
                <w:sz w:val="18"/>
                <w:szCs w:val="18"/>
              </w:rPr>
              <w:t>w przypadku</w:t>
            </w:r>
            <w:r w:rsidR="006B3FB6" w:rsidRPr="00505563">
              <w:rPr>
                <w:sz w:val="18"/>
                <w:szCs w:val="18"/>
              </w:rPr>
              <w:t xml:space="preserve"> </w:t>
            </w:r>
            <w:r w:rsidR="006B3FB6"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405DAA" w:rsidRPr="00A501F3" w:rsidTr="00F00EB4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904B6B" w:rsidRDefault="00123E31" w:rsidP="00F00EB4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535935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35935"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123E31" w:rsidRPr="00F00EB4" w:rsidRDefault="00123E31" w:rsidP="00F00EB4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123E31" w:rsidRPr="00BA5D2C" w:rsidRDefault="00123E31" w:rsidP="00F00EB4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405DAA" w:rsidRPr="00A501F3" w:rsidTr="00F00EB4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05DAA" w:rsidRPr="00F00EB4" w:rsidRDefault="00405DAA" w:rsidP="00F00EB4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1E118F" w:rsidRPr="00A501F3" w:rsidTr="00F00EB4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123E31" w:rsidRPr="00525826" w:rsidRDefault="00123E31" w:rsidP="002E783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123E31" w:rsidRPr="00525826" w:rsidRDefault="00123E31" w:rsidP="00F00EB4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</w:t>
            </w:r>
            <w:r w:rsidR="006B3FB6" w:rsidRPr="00F00EB4">
              <w:rPr>
                <w:b/>
                <w:sz w:val="18"/>
                <w:szCs w:val="18"/>
              </w:rPr>
              <w:t>O</w:t>
            </w:r>
            <w:r w:rsidRPr="00F00EB4">
              <w:rPr>
                <w:b/>
                <w:sz w:val="18"/>
                <w:szCs w:val="18"/>
              </w:rPr>
              <w:t>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123E31" w:rsidRPr="00F00EB4" w:rsidRDefault="00123E31" w:rsidP="002E7834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C16F19" w:rsidRPr="00525826" w:rsidRDefault="00123E31" w:rsidP="00A81D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123E31" w:rsidRPr="00F00EB4" w:rsidRDefault="00C16F19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123E31" w:rsidRPr="00F00EB4" w:rsidRDefault="00123E31" w:rsidP="00A81D3A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C16F19" w:rsidRPr="00505563" w:rsidRDefault="00535935" w:rsidP="00F00E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123E31" w:rsidRPr="00F00EB4" w:rsidRDefault="006B3FB6" w:rsidP="00F00E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092BA5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5C203B" w:rsidRDefault="00485E38" w:rsidP="00A123CA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F00EB4" w:rsidRDefault="00485E38" w:rsidP="00A123C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F00EB4" w:rsidRDefault="00485E38" w:rsidP="00B17FE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485E38" w:rsidRPr="0003503A" w:rsidRDefault="00485E38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="004C6163" w:rsidRPr="005C203B">
              <w:rPr>
                <w:rFonts w:cs="Calibri"/>
                <w:sz w:val="18"/>
                <w:szCs w:val="18"/>
              </w:rPr>
              <w:t>wskazanej</w:t>
            </w:r>
            <w:r w:rsidR="004C6163"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8A0389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485E38" w:rsidRPr="003154A5" w:rsidRDefault="00CE48DB" w:rsidP="00F00E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5A0A74" w:rsidRPr="003154A5">
              <w:rPr>
                <w:rFonts w:cs="Calibri"/>
                <w:sz w:val="18"/>
                <w:szCs w:val="18"/>
              </w:rPr>
              <w:t>w</w:t>
            </w:r>
            <w:r w:rsidR="005A0A74"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="005A0A74"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3"/>
            </w:r>
            <w:r w:rsidR="005A0A74"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="005A0A74"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485E38" w:rsidRPr="0003503A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485E38" w:rsidRPr="008A0389" w:rsidRDefault="005A0A74" w:rsidP="005A0A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5A0A74" w:rsidRPr="005C203B" w:rsidRDefault="005A0A74" w:rsidP="00A123CA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5A0A74" w:rsidRDefault="005A0A74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485E38" w:rsidRPr="003154A5" w:rsidRDefault="00332984" w:rsidP="00B17FEB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485E38" w:rsidRPr="003154A5" w:rsidRDefault="005A0A74" w:rsidP="0034263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 w:rsidR="003154A5"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332984" w:rsidP="00733281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A0A74" w:rsidRPr="00B062EF" w:rsidRDefault="005A0A74" w:rsidP="005C203B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5A0A74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485E38" w:rsidRPr="005C203B" w:rsidRDefault="005A0A74" w:rsidP="005C203B">
            <w:pPr>
              <w:numPr>
                <w:ilvl w:val="0"/>
                <w:numId w:val="114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3154A5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485E38" w:rsidRPr="00A501F3" w:rsidRDefault="00485E38" w:rsidP="00C47778">
            <w:pPr>
              <w:spacing w:before="60" w:after="60"/>
              <w:rPr>
                <w:sz w:val="20"/>
              </w:rPr>
            </w:pPr>
          </w:p>
        </w:tc>
      </w:tr>
      <w:tr w:rsidR="001E118F" w:rsidRPr="00A501F3" w:rsidTr="005C203B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154A5" w:rsidRDefault="0040161E" w:rsidP="005C203B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</w:t>
            </w:r>
            <w:r w:rsidR="0043592F"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342637" w:rsidRDefault="00CE48DB" w:rsidP="00EC2A5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 w:rsidR="00450086">
              <w:rPr>
                <w:rFonts w:cs="Calibri"/>
                <w:sz w:val="18"/>
                <w:szCs w:val="18"/>
              </w:rPr>
              <w:t>w</w:t>
            </w:r>
            <w:r w:rsidR="00450086"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="00450086" w:rsidRPr="00342637">
              <w:rPr>
                <w:rStyle w:val="Odwoanieprzypisudolnego"/>
                <w:spacing w:val="4"/>
              </w:rPr>
              <w:footnoteReference w:id="4"/>
            </w:r>
            <w:r w:rsidR="00450086"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 w:rsidR="004C6163">
              <w:rPr>
                <w:rFonts w:cs="Calibri"/>
                <w:sz w:val="18"/>
                <w:szCs w:val="18"/>
              </w:rPr>
              <w:t xml:space="preserve">o rachunkowości </w:t>
            </w:r>
            <w:r w:rsidR="004C6163"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="004C6163" w:rsidRPr="009F6DD6">
              <w:rPr>
                <w:rFonts w:cs="Calibri"/>
                <w:sz w:val="18"/>
                <w:szCs w:val="18"/>
              </w:rPr>
              <w:t>z póź</w:t>
            </w:r>
            <w:r w:rsidR="001E43F7">
              <w:rPr>
                <w:rFonts w:cs="Calibri"/>
                <w:sz w:val="18"/>
                <w:szCs w:val="18"/>
              </w:rPr>
              <w:t>n</w:t>
            </w:r>
            <w:r w:rsidR="004C6163" w:rsidRPr="009F6DD6">
              <w:rPr>
                <w:rFonts w:cs="Calibri"/>
                <w:sz w:val="18"/>
                <w:szCs w:val="18"/>
              </w:rPr>
              <w:t>. zm.)</w:t>
            </w:r>
            <w:r w:rsidR="004C6163">
              <w:rPr>
                <w:rFonts w:cs="Calibri"/>
                <w:sz w:val="18"/>
                <w:szCs w:val="18"/>
              </w:rPr>
              <w:t xml:space="preserve"> </w:t>
            </w:r>
            <w:r w:rsidR="00450086"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="00450086" w:rsidRPr="00450086">
              <w:rPr>
                <w:rFonts w:cs="Calibri"/>
                <w:sz w:val="18"/>
                <w:szCs w:val="18"/>
              </w:rPr>
              <w:t>t instytucja, w której</w:t>
            </w:r>
            <w:r w:rsidR="00450086">
              <w:rPr>
                <w:rFonts w:cs="Calibri"/>
                <w:sz w:val="18"/>
                <w:szCs w:val="18"/>
              </w:rPr>
              <w:t xml:space="preserve"> </w:t>
            </w:r>
            <w:r w:rsidR="00450086"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 w:rsidR="00450086">
              <w:rPr>
                <w:rStyle w:val="Odwoanieprzypisudolnego"/>
                <w:rFonts w:cs="Calibri"/>
                <w:spacing w:val="4"/>
              </w:rPr>
              <w:footnoteReference w:id="5"/>
            </w:r>
            <w:r w:rsidR="005A0A74"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B062EF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52DF" w:rsidRPr="000C5D24" w:rsidRDefault="002C52DF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2C52DF" w:rsidRPr="00A501F3" w:rsidRDefault="002C52DF" w:rsidP="00C47778">
            <w:pPr>
              <w:spacing w:before="60" w:after="60"/>
              <w:rPr>
                <w:sz w:val="20"/>
              </w:rPr>
            </w:pPr>
          </w:p>
        </w:tc>
      </w:tr>
      <w:tr w:rsidR="00405DAA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405DAA" w:rsidRPr="00A501F3" w:rsidRDefault="00405DAA" w:rsidP="00B34B0A">
            <w:pPr>
              <w:rPr>
                <w:sz w:val="20"/>
              </w:rPr>
            </w:pPr>
          </w:p>
        </w:tc>
      </w:tr>
      <w:tr w:rsidR="006B3FB6" w:rsidRPr="00A501F3" w:rsidTr="00F00EB4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B3FB6" w:rsidRPr="001D101A" w:rsidRDefault="006B3FB6" w:rsidP="00DC5163">
            <w:pPr>
              <w:spacing w:before="40" w:after="40" w:line="240" w:lineRule="exact"/>
              <w:jc w:val="center"/>
              <w:rPr>
                <w:sz w:val="20"/>
                <w:highlight w:val="yellow"/>
              </w:rPr>
            </w:pPr>
            <w:r w:rsidRPr="001D101A">
              <w:rPr>
                <w:b/>
                <w:sz w:val="20"/>
              </w:rPr>
              <w:t>KRYTERIA DOSTĘPU</w:t>
            </w:r>
            <w:r w:rsidR="001D101A" w:rsidRPr="001D101A">
              <w:rPr>
                <w:b/>
                <w:sz w:val="20"/>
              </w:rPr>
              <w:t xml:space="preserve"> WERYFIKOWANE NA ETAPIE OCENY FORMALNEJ</w:t>
            </w:r>
            <w:r w:rsidRPr="001D101A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B3FB6" w:rsidRPr="00A501F3" w:rsidRDefault="006B3FB6" w:rsidP="00A123CA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B3FB6" w:rsidRPr="00A501F3" w:rsidRDefault="006B3FB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B3FB6" w:rsidRPr="00A501F3" w:rsidRDefault="00535935" w:rsidP="00DC5163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="006B3FB6" w:rsidRPr="00F44D83">
              <w:rPr>
                <w:b/>
                <w:sz w:val="18"/>
                <w:szCs w:val="18"/>
              </w:rPr>
              <w:t xml:space="preserve"> </w:t>
            </w:r>
            <w:r w:rsidR="006B3FB6" w:rsidRPr="00F44D83">
              <w:rPr>
                <w:b/>
                <w:sz w:val="18"/>
                <w:szCs w:val="18"/>
              </w:rPr>
              <w:br/>
            </w:r>
            <w:r w:rsidR="006B3FB6" w:rsidRPr="00F44D83">
              <w:rPr>
                <w:sz w:val="16"/>
                <w:szCs w:val="16"/>
              </w:rPr>
              <w:t>(w przypadku zaznaczenia odpowiedzi „NIE”)</w:t>
            </w:r>
          </w:p>
        </w:tc>
      </w:tr>
      <w:tr w:rsidR="00485E38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85E38" w:rsidRPr="00AE380B" w:rsidRDefault="008F7DE6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E380B">
              <w:rPr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9C133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projekcie przewidziano wszystkie następujące działania: </w:t>
            </w:r>
          </w:p>
          <w:p w:rsidR="002256AF" w:rsidRPr="0044515D" w:rsidRDefault="002256AF" w:rsidP="0044515D">
            <w:pPr>
              <w:pStyle w:val="Akapitzlist"/>
              <w:numPr>
                <w:ilvl w:val="0"/>
                <w:numId w:val="125"/>
              </w:numPr>
              <w:rPr>
                <w:rFonts w:ascii="Calibri" w:eastAsia="Calibri" w:hAnsi="Calibri" w:cs="Arial"/>
                <w:sz w:val="18"/>
                <w:szCs w:val="18"/>
              </w:rPr>
            </w:pPr>
            <w:r w:rsidRPr="002256AF">
              <w:rPr>
                <w:rFonts w:ascii="Calibri" w:eastAsia="Calibri" w:hAnsi="Calibri" w:cs="Arial"/>
                <w:sz w:val="18"/>
                <w:szCs w:val="18"/>
              </w:rPr>
              <w:t>identyfikację potencjalnych odbiorców wsparcia;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opracowanie analizy potrzeb rozwojowych MMSP (z uwzględnieniem pracowników w niekorzystnej sytuacji na rynku pracy, w tym pracowników w wieku 45+ - o ile dotyczy), którzy nie posiadają planu lub strategii rozwoju, w tym przygotowanie propozycji planów rozwojowych określających zakres działań niezbędnych do zaspokojenia zidentyfikowanych potrzeb rozwojowych, w tym pozwalających na efektywne wykorzystanie podmiotowych systemów finansowania w regionach; 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monitoring i doradztwo w zakresie wdrożenia planów rozwojowych MMSP w okresie trwania projektu;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opracowanie analizy faktycznej dostępności usług w branży dla MMSP i - o ile dotyczy - podejmowanie działań interwencyjnych;</w:t>
            </w:r>
          </w:p>
          <w:p w:rsidR="009C1334" w:rsidRPr="009C1334" w:rsidRDefault="009C1334" w:rsidP="009C1334">
            <w:pPr>
              <w:numPr>
                <w:ilvl w:val="0"/>
                <w:numId w:val="125"/>
              </w:numPr>
              <w:spacing w:before="40" w:after="40" w:line="240" w:lineRule="exact"/>
              <w:ind w:left="777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upowszechnianie wśród interesariuszy wiedzy o zdiagnozowanych potrzebach lub barierach rozwojowych, które wykraczają poza bezpośredni zakres wsparcia w </w:t>
            </w:r>
            <w:r w:rsidR="002256AF">
              <w:rPr>
                <w:rFonts w:cs="Arial"/>
                <w:sz w:val="18"/>
                <w:szCs w:val="18"/>
                <w:lang w:eastAsia="pl-PL"/>
              </w:rPr>
              <w:t>B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UR i podejmowanie działań wdrożeniowych lub interwencji koniecznych do ich zaspokojenia (mainstreaming potrzeb rozwojowych).</w:t>
            </w:r>
          </w:p>
          <w:p w:rsidR="00485E38" w:rsidRPr="00AE380B" w:rsidRDefault="00485E38" w:rsidP="005A0814">
            <w:pPr>
              <w:spacing w:before="40" w:after="40" w:line="240" w:lineRule="exact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485E38" w:rsidRPr="000C5D24" w:rsidRDefault="00485E38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485E38" w:rsidRPr="000C5D24" w:rsidRDefault="00485E38" w:rsidP="00B17FE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485E38" w:rsidRPr="00A501F3" w:rsidRDefault="00485E38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B50B83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B50B83" w:rsidRPr="00AE380B" w:rsidRDefault="00B50B83" w:rsidP="00B50B8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9780" w:type="dxa"/>
            <w:shd w:val="clear" w:color="000000" w:fill="F3F3F3"/>
          </w:tcPr>
          <w:p w:rsidR="00B50B83" w:rsidRPr="009C1334" w:rsidRDefault="00B50B83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B50B83">
              <w:rPr>
                <w:rFonts w:cs="Arial"/>
                <w:sz w:val="18"/>
                <w:szCs w:val="18"/>
                <w:lang w:eastAsia="pl-PL"/>
              </w:rPr>
              <w:t xml:space="preserve">Projekt ma charakter branżowy tzn. wszystkie działania przewidziane w projekcie dotyczą jednej spośród branż wskazanych w regulaminie konkursu. Wnioskodawca oraz partnerzy (jeśli dotyczy) zapewnią udzielenie wsparcia w zakresie objętym konkursem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lastRenderedPageBreak/>
              <w:t>przedsiębiorcom działającym w jednej z branż wymienionych w Regulaminie konkursu, której dotyczy projekt. Do dofinansowania zostanie wybrany 1 projekt, po jednym dla każdej z branż wskazanych w Regulaminie konkursu.</w:t>
            </w:r>
          </w:p>
        </w:tc>
        <w:tc>
          <w:tcPr>
            <w:tcW w:w="567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lastRenderedPageBreak/>
              <w:t>□</w:t>
            </w:r>
          </w:p>
        </w:tc>
        <w:tc>
          <w:tcPr>
            <w:tcW w:w="851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t>□</w:t>
            </w:r>
          </w:p>
        </w:tc>
        <w:tc>
          <w:tcPr>
            <w:tcW w:w="850" w:type="dxa"/>
            <w:shd w:val="clear" w:color="000000" w:fill="F3F3F3"/>
          </w:tcPr>
          <w:p w:rsidR="00B50B83" w:rsidRPr="000C5D24" w:rsidRDefault="00B50B83" w:rsidP="00B50B83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75E32">
              <w:t>□</w:t>
            </w:r>
          </w:p>
        </w:tc>
        <w:tc>
          <w:tcPr>
            <w:tcW w:w="1544" w:type="dxa"/>
            <w:shd w:val="clear" w:color="000000" w:fill="F3F3F3"/>
          </w:tcPr>
          <w:p w:rsidR="00B50B83" w:rsidRPr="00A501F3" w:rsidRDefault="00B50B83" w:rsidP="00B50B8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B50B83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7DE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9C1334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Przedsiębiorcy lub grupy przedsiębiorców objęci wsparciem należą do przedsiębiorstw działających w tej samej branży </w:t>
            </w:r>
            <w:r w:rsidR="00B50B83" w:rsidRPr="000E57D8">
              <w:rPr>
                <w:rFonts w:cs="Arial"/>
                <w:sz w:val="18"/>
                <w:szCs w:val="18"/>
              </w:rPr>
              <w:t xml:space="preserve"> , a w przypadku analizy faktycznej dostępności usług dla MMSP w branży analiza ta dotyczy tej samej branży, z której pochodzą przedsiębiorcy objęci wsparciem w projekcie. Na zasadzie wyjątku, aby umożliwić wsparcie przedsiębiorców działających np. w grupie kooperacyjnej czy funkcjonujących w jednym łańcuchu dostaw, możliwe jest objęcie wsparciem przedsiębiorców, którzy działają w branży innej niż ta, której dotyczy projekt. Przedsiębiorcy ci mogą stanowić nie więcej niż 20% uczestników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8F7DE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8F7DE6" w:rsidRPr="00AE380B" w:rsidDel="008F7DE6" w:rsidRDefault="00C26874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7DE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8F7DE6" w:rsidRPr="00AE380B" w:rsidRDefault="00B50B83" w:rsidP="00B50B83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B50B83">
              <w:rPr>
                <w:rFonts w:cs="Arial"/>
                <w:sz w:val="18"/>
                <w:szCs w:val="18"/>
                <w:lang w:eastAsia="pl-PL"/>
              </w:rPr>
              <w:t>Jeden podmiot może wystąpić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w ramach konkursu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t xml:space="preserve">jako </w:t>
            </w:r>
            <w:r>
              <w:rPr>
                <w:rFonts w:cs="Arial"/>
                <w:sz w:val="18"/>
                <w:szCs w:val="18"/>
                <w:lang w:eastAsia="pl-PL"/>
              </w:rPr>
              <w:t>W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nioskodawc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lub </w:t>
            </w:r>
            <w:r>
              <w:rPr>
                <w:rFonts w:cs="Arial"/>
                <w:sz w:val="18"/>
                <w:szCs w:val="18"/>
                <w:lang w:eastAsia="pl-PL"/>
              </w:rPr>
              <w:t>P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artner w nie więcej niż 3</w:t>
            </w:r>
            <w:r>
              <w:t xml:space="preserve"> </w:t>
            </w:r>
            <w:r w:rsidRPr="00B50B83">
              <w:rPr>
                <w:rFonts w:cs="Arial"/>
                <w:sz w:val="18"/>
                <w:szCs w:val="18"/>
                <w:lang w:eastAsia="pl-PL"/>
              </w:rPr>
              <w:t>wnioskach o dofinansowanie złożonych w konkursie.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8F7DE6" w:rsidRPr="000C5D24" w:rsidRDefault="008F7DE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8F7DE6" w:rsidRPr="000C5D24" w:rsidRDefault="008F7DE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8F7DE6" w:rsidRPr="00A501F3" w:rsidRDefault="008F7DE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C26874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9C1334" w:rsidRPr="009C1334" w:rsidRDefault="00C26874" w:rsidP="009C133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W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nioskodawc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lub </w:t>
            </w:r>
            <w:r>
              <w:rPr>
                <w:rFonts w:cs="Arial"/>
                <w:sz w:val="18"/>
                <w:szCs w:val="18"/>
                <w:lang w:eastAsia="pl-PL"/>
              </w:rPr>
              <w:t>P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artner projektu wskazany we wniosku o dofinansowanie: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a).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 działania o charakterze szkoleniowym lub doradczym, skierowane do co najmniej liczby przedsiębiorców z sektora MMSP stanowiącej 50% przewidywanej liczby przedsiębiorców objętych wsparciem określonej we wniosku o dofinansowanie projektu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b).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okresie 2 lat przed terminem złożenia wniosku przeprowadził działania o charakterze szkoleniowym lub doradczym skierowane do pracowników zatrudnionych w co najmniej 50% liczby przedsiębiorców z sektora MMSP przewidywanej do objęcia wsparciem określonej we wniosku o dofinansowanie projektu.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C2687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c). 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w momencie składania wniosku dysponuje personelem posiadającym doświadczenie w świadczeniu usług doradczych dla przedsiębiorców (np. umowa o pracę, umowa zlecenie, kontrakt obejmujący, co najmniej okres realizacji projektu).</w:t>
            </w:r>
          </w:p>
          <w:p w:rsidR="000377D6" w:rsidRPr="008F7DE6" w:rsidRDefault="000377D6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A92C60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Wnioskodawcą w konkursie może być: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a.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>organizacja reprezentatywna, pod warunkiem złożenia wniosku partnerskiego z organizacją branżową pracodawców i pracowników w rozumieniu SzOOP PO WER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0108DD" w:rsidRPr="000108DD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b.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>organizacja branżowa pracodawców i pracowników w rozumieniu SzOOP PO WER, która:</w:t>
            </w:r>
          </w:p>
          <w:p w:rsidR="009C1334" w:rsidRPr="009C1334" w:rsidRDefault="000108DD" w:rsidP="000108DD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108DD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0108DD">
              <w:rPr>
                <w:rFonts w:cs="Arial"/>
                <w:sz w:val="18"/>
                <w:szCs w:val="18"/>
                <w:lang w:eastAsia="pl-PL"/>
              </w:rPr>
              <w:tab/>
              <w:t>na koniec ostatniego roku kalendarzowego (tj. 2016)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zrzeszał</w:t>
            </w:r>
            <w:r>
              <w:rPr>
                <w:rFonts w:cs="Arial"/>
                <w:sz w:val="18"/>
                <w:szCs w:val="18"/>
                <w:lang w:eastAsia="pl-PL"/>
              </w:rPr>
              <w:t>a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 xml:space="preserve"> minimum 30 mikro, małych lub średnich przedsiębiorców lub pracowników zatrudnionych u przynajmniej 30 mikro, małych lub średnich przedsiębiorców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i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na koniec ostatniego roku kalendarzowego (tj. 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>201</w:t>
            </w:r>
            <w:r w:rsidR="000108DD">
              <w:rPr>
                <w:rFonts w:cs="Arial"/>
                <w:sz w:val="18"/>
                <w:szCs w:val="18"/>
                <w:lang w:eastAsia="pl-PL"/>
              </w:rPr>
              <w:t>6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) posiadał</w:t>
            </w:r>
            <w:r w:rsidR="000108DD">
              <w:rPr>
                <w:rFonts w:cs="Arial"/>
                <w:sz w:val="18"/>
                <w:szCs w:val="18"/>
                <w:lang w:eastAsia="pl-PL"/>
              </w:rPr>
              <w:t>a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 udział składki członkowskiej w budżecie w wysokości min. 25%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przeprowadził na rzecz swoich członków min. 30 interwencji w instytucjach publicznych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lub</w:t>
            </w:r>
          </w:p>
          <w:p w:rsidR="009C1334" w:rsidRPr="009C1334" w:rsidRDefault="009C1334" w:rsidP="009C1334">
            <w:pPr>
              <w:spacing w:before="40" w:after="40" w:line="240" w:lineRule="exact"/>
              <w:ind w:left="708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 xml:space="preserve">w ostatnich </w:t>
            </w:r>
            <w:r w:rsidR="0061452B">
              <w:rPr>
                <w:rFonts w:cs="Arial"/>
                <w:sz w:val="18"/>
                <w:szCs w:val="18"/>
                <w:lang w:eastAsia="pl-PL"/>
              </w:rPr>
              <w:t>36</w:t>
            </w:r>
            <w:r w:rsidR="0061452B" w:rsidRPr="009C1334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miesiącach przed dniem złożenia wniosku przedstawił w imieniu swoich członków min. 20 stanowisk lub opinii  instytucjom publicznym.  </w:t>
            </w:r>
          </w:p>
          <w:p w:rsidR="000377D6" w:rsidRPr="008F7DE6" w:rsidRDefault="002A252A" w:rsidP="00F15DEF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A92C60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A92C60" w:rsidRDefault="00A92C60" w:rsidP="00A92C6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780" w:type="dxa"/>
            <w:shd w:val="clear" w:color="000000" w:fill="F3F3F3"/>
          </w:tcPr>
          <w:p w:rsidR="00A92C60" w:rsidRPr="000108DD" w:rsidRDefault="00A92C60" w:rsidP="00A92C60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92C60">
              <w:rPr>
                <w:rFonts w:cs="Arial"/>
                <w:sz w:val="18"/>
                <w:szCs w:val="18"/>
                <w:lang w:eastAsia="pl-PL"/>
              </w:rPr>
              <w:t>Branżowa organizacja pracodawców i pracowników, będąca Wnioskodawcą lub Partnerem realizuje projekt dla przedsiębiorstw należących do branży, którą reprezentuje</w:t>
            </w:r>
          </w:p>
        </w:tc>
        <w:tc>
          <w:tcPr>
            <w:tcW w:w="567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851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850" w:type="dxa"/>
            <w:shd w:val="clear" w:color="000000" w:fill="F3F3F3"/>
          </w:tcPr>
          <w:p w:rsidR="00A92C60" w:rsidRPr="000C5D24" w:rsidRDefault="00A92C60" w:rsidP="00A92C6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753EC4">
              <w:t>□</w:t>
            </w:r>
          </w:p>
        </w:tc>
        <w:tc>
          <w:tcPr>
            <w:tcW w:w="1544" w:type="dxa"/>
            <w:shd w:val="clear" w:color="000000" w:fill="F3F3F3"/>
          </w:tcPr>
          <w:p w:rsidR="00A92C60" w:rsidRPr="00A501F3" w:rsidRDefault="00A92C60" w:rsidP="00A92C60">
            <w:pPr>
              <w:spacing w:after="0" w:line="240" w:lineRule="exact"/>
              <w:rPr>
                <w:sz w:val="20"/>
              </w:rPr>
            </w:pPr>
          </w:p>
        </w:tc>
      </w:tr>
      <w:tr w:rsidR="00A92C60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A92C60" w:rsidRPr="00AE380B" w:rsidRDefault="00A92C60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9780" w:type="dxa"/>
            <w:shd w:val="clear" w:color="000000" w:fill="F3F3F3"/>
          </w:tcPr>
          <w:p w:rsidR="00A92C60" w:rsidRPr="009C1334" w:rsidRDefault="00A92C60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A92C60">
              <w:rPr>
                <w:rFonts w:cs="Arial"/>
                <w:sz w:val="18"/>
                <w:szCs w:val="18"/>
                <w:lang w:eastAsia="pl-PL"/>
              </w:rPr>
              <w:t>Wnioskodawcy i Partnerzy składający wnioski o dofinansowanie w konkursie spełniają kryteria określone w SzOOP POWER tj są partnerami społecznymi zgodnie z definicją zawartą w SzOOP POWER.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A92C60" w:rsidRPr="000C5D24" w:rsidRDefault="00A92C60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A92C60" w:rsidRPr="000C5D24" w:rsidRDefault="00A92C60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A92C60" w:rsidRPr="000C5D24" w:rsidRDefault="00A92C60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</w:p>
        </w:tc>
        <w:tc>
          <w:tcPr>
            <w:tcW w:w="1544" w:type="dxa"/>
            <w:shd w:val="clear" w:color="000000" w:fill="F3F3F3"/>
          </w:tcPr>
          <w:p w:rsidR="00A92C60" w:rsidRPr="00A501F3" w:rsidRDefault="00A92C60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2830B9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9C1334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9C1334">
              <w:rPr>
                <w:rFonts w:cs="Arial"/>
                <w:sz w:val="18"/>
                <w:szCs w:val="18"/>
                <w:lang w:eastAsia="pl-PL"/>
              </w:rPr>
              <w:t>Okres realizacji projektu nie przekracza 24 miesięcy</w:t>
            </w:r>
            <w:r w:rsidR="00A92C60" w:rsidRPr="00A92C60">
              <w:rPr>
                <w:rFonts w:cs="Arial"/>
                <w:sz w:val="18"/>
                <w:szCs w:val="18"/>
                <w:lang w:eastAsia="pl-PL"/>
              </w:rPr>
              <w:t>, a projekt rozpoczyna się nie później niż 5 miesięcy od daty ostatecznego terminu składania wniosków</w:t>
            </w:r>
            <w:r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2830B9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2830B9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2830B9">
              <w:rPr>
                <w:rFonts w:cs="Arial"/>
                <w:sz w:val="18"/>
                <w:szCs w:val="18"/>
                <w:lang w:eastAsia="pl-PL"/>
              </w:rPr>
              <w:t>Wartość projektu nie może przekroczyć wartości alokacji przeznaczonej na realizację projektu w określonej branży, wskazanej w Regulaminie konkursu.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D610A7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0377D6" w:rsidRPr="008F7DE6" w:rsidRDefault="00D610A7" w:rsidP="005A0814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W ramach działań rekrutacyjnych przedsiębiorców do udziału w projekcie, preferowani będą przedsiębiorcy deklarujący chęć skorzystania ze wsparcia z Priorytetu Inwestycyjnego 8.V regionalnych programów operacyjnych</w:t>
            </w:r>
            <w:r w:rsidR="009C1334" w:rsidRPr="009C1334">
              <w:rPr>
                <w:rFonts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377D6" w:rsidRPr="00AE380B" w:rsidRDefault="00D610A7" w:rsidP="00DC516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377D6" w:rsidRPr="00AE380B">
              <w:rPr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 xml:space="preserve">Wydatki związane ze zlecaniem usług merytorycznych nie przekraczają 30% wartości projektu. </w:t>
            </w:r>
          </w:p>
          <w:p w:rsidR="000377D6" w:rsidRPr="008F7DE6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Za zlecone usługi merytoryczne uznawany będzie zakup usług doradczych od wykonawców zewnętrznych niebędących personelem projektów w rozumieniu 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0377D6" w:rsidRPr="000C5D24" w:rsidRDefault="000377D6" w:rsidP="00B17FEB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0377D6" w:rsidRPr="00A501F3" w:rsidRDefault="000377D6" w:rsidP="00DC5163">
            <w:pPr>
              <w:spacing w:after="0" w:line="240" w:lineRule="exact"/>
              <w:rPr>
                <w:sz w:val="20"/>
              </w:rPr>
            </w:pPr>
          </w:p>
        </w:tc>
      </w:tr>
      <w:tr w:rsidR="00D610A7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10A7" w:rsidRDefault="00D610A7" w:rsidP="00D610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Działania merytoryczne w ramach projektu będą realizowane zgodnie z minimalnymi wymaganiami jakościowymi określonymi w Regulaminie konkursu zawierającymi co najmniej wymagania wobec: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>minimalnego zakresu tematycznego doradztwa,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 xml:space="preserve">minimalnego wzoru planu rozwoju, </w:t>
            </w:r>
          </w:p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•</w:t>
            </w:r>
            <w:r w:rsidRPr="00D610A7">
              <w:rPr>
                <w:rFonts w:cs="Arial"/>
                <w:sz w:val="18"/>
                <w:szCs w:val="18"/>
                <w:lang w:eastAsia="pl-PL"/>
              </w:rPr>
              <w:tab/>
              <w:t>doradców świadczących doradztwo.</w:t>
            </w:r>
          </w:p>
        </w:tc>
        <w:tc>
          <w:tcPr>
            <w:tcW w:w="567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851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850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A0EBE">
              <w:t>□</w:t>
            </w:r>
          </w:p>
        </w:tc>
        <w:tc>
          <w:tcPr>
            <w:tcW w:w="1544" w:type="dxa"/>
            <w:shd w:val="clear" w:color="000000" w:fill="F3F3F3"/>
          </w:tcPr>
          <w:p w:rsidR="00D610A7" w:rsidRPr="00A501F3" w:rsidRDefault="00D610A7" w:rsidP="00D610A7">
            <w:pPr>
              <w:spacing w:after="0" w:line="240" w:lineRule="exact"/>
              <w:rPr>
                <w:sz w:val="20"/>
              </w:rPr>
            </w:pPr>
          </w:p>
        </w:tc>
      </w:tr>
      <w:tr w:rsidR="00D610A7" w:rsidRPr="00A501F3" w:rsidTr="0044515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610A7" w:rsidRDefault="00D610A7" w:rsidP="00D610A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9780" w:type="dxa"/>
            <w:shd w:val="clear" w:color="000000" w:fill="F3F3F3"/>
          </w:tcPr>
          <w:p w:rsidR="00D610A7" w:rsidRPr="00D610A7" w:rsidRDefault="00D610A7" w:rsidP="00D610A7">
            <w:pPr>
              <w:spacing w:before="40" w:after="40" w:line="240" w:lineRule="exact"/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610A7">
              <w:rPr>
                <w:rFonts w:cs="Arial"/>
                <w:sz w:val="18"/>
                <w:szCs w:val="18"/>
                <w:lang w:eastAsia="pl-PL"/>
              </w:rPr>
              <w:t>Wnioskodawca zobowiązany jest do zapewnienia wkładu własnego w wysokości co najmniej 10,00% wartości wydatków kwalifikowanych projektu. Wkład własny stanowią środki finansowe w formie pieniężnej pozyskane przez Wnioskodawcę od przedsiębiorców biorących udział w projekcie, w wysokości co najmniej 10,00% kosztów usług szkoleniowych i doradczych.</w:t>
            </w:r>
          </w:p>
        </w:tc>
        <w:tc>
          <w:tcPr>
            <w:tcW w:w="567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851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850" w:type="dxa"/>
            <w:shd w:val="clear" w:color="000000" w:fill="F3F3F3"/>
          </w:tcPr>
          <w:p w:rsidR="00D610A7" w:rsidRPr="000C5D24" w:rsidRDefault="00D610A7" w:rsidP="00D610A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A63768">
              <w:t>□</w:t>
            </w:r>
          </w:p>
        </w:tc>
        <w:tc>
          <w:tcPr>
            <w:tcW w:w="1544" w:type="dxa"/>
            <w:shd w:val="clear" w:color="000000" w:fill="F3F3F3"/>
          </w:tcPr>
          <w:p w:rsidR="00D610A7" w:rsidRPr="00A501F3" w:rsidRDefault="00D610A7" w:rsidP="00D610A7">
            <w:pPr>
              <w:spacing w:after="0" w:line="240" w:lineRule="exact"/>
              <w:rPr>
                <w:sz w:val="20"/>
              </w:rPr>
            </w:pPr>
          </w:p>
        </w:tc>
      </w:tr>
      <w:tr w:rsidR="000377D6" w:rsidRPr="00A501F3" w:rsidTr="00F00EB4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0377D6" w:rsidRPr="00A501F3" w:rsidRDefault="000377D6" w:rsidP="00B34B0A">
            <w:pPr>
              <w:rPr>
                <w:sz w:val="20"/>
              </w:rPr>
            </w:pPr>
          </w:p>
        </w:tc>
      </w:tr>
      <w:tr w:rsidR="000377D6" w:rsidRPr="00A501F3" w:rsidTr="00F00EB4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A501F3" w:rsidRDefault="000377D6" w:rsidP="00DC516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0377D6" w:rsidRPr="00A501F3" w:rsidRDefault="000377D6" w:rsidP="005560D3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377D6" w:rsidRPr="00F00EB4" w:rsidRDefault="000377D6" w:rsidP="00A123CA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0377D6" w:rsidRPr="00F00EB4" w:rsidRDefault="000377D6" w:rsidP="00DC5163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0377D6" w:rsidRPr="00A501F3" w:rsidTr="00F00EB4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0377D6" w:rsidRPr="00F00EB4" w:rsidRDefault="000377D6" w:rsidP="00F00E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77D6" w:rsidRPr="000C5D24" w:rsidRDefault="000377D6" w:rsidP="00A123C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0377D6" w:rsidRPr="00A501F3" w:rsidRDefault="000377D6" w:rsidP="00DC5163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</w:t>
      </w:r>
      <w:r w:rsidR="00684273" w:rsidRPr="00F00EB4">
        <w:rPr>
          <w:sz w:val="16"/>
          <w:szCs w:val="16"/>
        </w:rPr>
        <w:t xml:space="preserve"> (</w:t>
      </w:r>
      <w:r w:rsidR="005560D3">
        <w:rPr>
          <w:sz w:val="16"/>
          <w:szCs w:val="16"/>
        </w:rPr>
        <w:t>o ile</w:t>
      </w:r>
      <w:r w:rsidR="00684273" w:rsidRPr="00F00EB4">
        <w:rPr>
          <w:sz w:val="16"/>
          <w:szCs w:val="16"/>
        </w:rPr>
        <w:t xml:space="preserve"> dotyczy)</w:t>
      </w:r>
      <w:r w:rsidRPr="00F00EB4">
        <w:rPr>
          <w:sz w:val="16"/>
          <w:szCs w:val="16"/>
        </w:rPr>
        <w:t>:</w:t>
      </w:r>
      <w:r w:rsidRPr="00F00EB4">
        <w:rPr>
          <w:sz w:val="16"/>
          <w:szCs w:val="16"/>
        </w:rPr>
        <w:tab/>
      </w:r>
    </w:p>
    <w:p w:rsidR="00C47778" w:rsidRPr="00F00EB4" w:rsidRDefault="00C47778" w:rsidP="00F00EB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9A7599" w:rsidRPr="005108A0" w:rsidRDefault="005108A0" w:rsidP="002C4188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  <w:sectPr w:rsidR="009A7599" w:rsidRPr="005108A0" w:rsidSect="002E7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16"/>
          <w:szCs w:val="16"/>
        </w:rPr>
        <w:t>Podpis</w:t>
      </w:r>
    </w:p>
    <w:bookmarkEnd w:id="1"/>
    <w:p w:rsidR="0001648B" w:rsidRDefault="0001648B" w:rsidP="009A759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sectPr w:rsidR="0001648B" w:rsidSect="002C4188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DE" w:rsidRDefault="000840DE" w:rsidP="006F3D98">
      <w:pPr>
        <w:spacing w:after="0" w:line="240" w:lineRule="auto"/>
      </w:pPr>
      <w:r>
        <w:separator/>
      </w:r>
    </w:p>
  </w:endnote>
  <w:end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endnote>
  <w:endnote w:type="continuationNotice" w:id="1">
    <w:p w:rsidR="000840DE" w:rsidRDefault="00084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79FE">
      <w:rPr>
        <w:noProof/>
      </w:rPr>
      <w:t>6</w:t>
    </w:r>
    <w:r>
      <w:fldChar w:fldCharType="end"/>
    </w:r>
  </w:p>
  <w:p w:rsidR="00786BE8" w:rsidRDefault="00786BE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79FE">
      <w:rPr>
        <w:noProof/>
      </w:rPr>
      <w:t>7</w:t>
    </w:r>
    <w:r>
      <w:fldChar w:fldCharType="end"/>
    </w:r>
  </w:p>
  <w:p w:rsidR="00786BE8" w:rsidRDefault="00786B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188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DE" w:rsidRDefault="000840DE" w:rsidP="006F3D98">
      <w:pPr>
        <w:spacing w:after="0" w:line="240" w:lineRule="auto"/>
      </w:pPr>
      <w:r>
        <w:separator/>
      </w:r>
    </w:p>
  </w:footnote>
  <w:footnote w:type="continuationSeparator" w:id="0">
    <w:p w:rsidR="000840DE" w:rsidRDefault="000840DE" w:rsidP="006F3D98">
      <w:pPr>
        <w:spacing w:after="0" w:line="240" w:lineRule="auto"/>
      </w:pPr>
      <w:r>
        <w:continuationSeparator/>
      </w:r>
    </w:p>
  </w:footnote>
  <w:footnote w:type="continuationNotice" w:id="1">
    <w:p w:rsidR="000840DE" w:rsidRDefault="000840DE">
      <w:pPr>
        <w:spacing w:after="0" w:line="240" w:lineRule="auto"/>
      </w:pPr>
    </w:p>
  </w:footnote>
  <w:footnote w:id="2">
    <w:p w:rsidR="00786BE8" w:rsidRPr="00FA0EE5" w:rsidRDefault="00786BE8" w:rsidP="005A0A7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3">
    <w:p w:rsidR="00786BE8" w:rsidRPr="00E1375E" w:rsidRDefault="00786BE8" w:rsidP="005A0A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>kiego i Rybackiego oraz uchylającego rozporządzenie Rady (WE) nr 1083/2006 (Dz. Urz. UE z 20.12.2013, str. 320 L 347, z późn. zm.).</w:t>
      </w:r>
    </w:p>
  </w:footnote>
  <w:footnote w:id="4">
    <w:p w:rsidR="00450086" w:rsidRPr="005C203B" w:rsidRDefault="00450086" w:rsidP="002A252A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5">
    <w:p w:rsidR="00450086" w:rsidRPr="002608E1" w:rsidRDefault="00450086" w:rsidP="002A252A">
      <w:pPr>
        <w:spacing w:line="240" w:lineRule="aut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1E" w:rsidRDefault="00F77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E8400C"/>
    <w:multiLevelType w:val="hybridMultilevel"/>
    <w:tmpl w:val="19228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8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3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7F30370"/>
    <w:multiLevelType w:val="hybridMultilevel"/>
    <w:tmpl w:val="43486B76"/>
    <w:lvl w:ilvl="0" w:tplc="6526E39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3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3"/>
  </w:num>
  <w:num w:numId="3">
    <w:abstractNumId w:val="11"/>
  </w:num>
  <w:num w:numId="4">
    <w:abstractNumId w:val="117"/>
  </w:num>
  <w:num w:numId="5">
    <w:abstractNumId w:val="95"/>
  </w:num>
  <w:num w:numId="6">
    <w:abstractNumId w:val="86"/>
  </w:num>
  <w:num w:numId="7">
    <w:abstractNumId w:val="63"/>
  </w:num>
  <w:num w:numId="8">
    <w:abstractNumId w:val="125"/>
  </w:num>
  <w:num w:numId="9">
    <w:abstractNumId w:val="6"/>
  </w:num>
  <w:num w:numId="10">
    <w:abstractNumId w:val="114"/>
  </w:num>
  <w:num w:numId="11">
    <w:abstractNumId w:val="123"/>
  </w:num>
  <w:num w:numId="12">
    <w:abstractNumId w:val="68"/>
  </w:num>
  <w:num w:numId="13">
    <w:abstractNumId w:val="85"/>
  </w:num>
  <w:num w:numId="14">
    <w:abstractNumId w:val="81"/>
  </w:num>
  <w:num w:numId="15">
    <w:abstractNumId w:val="75"/>
  </w:num>
  <w:num w:numId="16">
    <w:abstractNumId w:val="109"/>
  </w:num>
  <w:num w:numId="17">
    <w:abstractNumId w:val="91"/>
  </w:num>
  <w:num w:numId="18">
    <w:abstractNumId w:val="47"/>
  </w:num>
  <w:num w:numId="19">
    <w:abstractNumId w:val="9"/>
  </w:num>
  <w:num w:numId="20">
    <w:abstractNumId w:val="121"/>
  </w:num>
  <w:num w:numId="21">
    <w:abstractNumId w:val="37"/>
  </w:num>
  <w:num w:numId="22">
    <w:abstractNumId w:val="38"/>
  </w:num>
  <w:num w:numId="23">
    <w:abstractNumId w:val="21"/>
  </w:num>
  <w:num w:numId="24">
    <w:abstractNumId w:val="90"/>
  </w:num>
  <w:num w:numId="25">
    <w:abstractNumId w:val="96"/>
  </w:num>
  <w:num w:numId="26">
    <w:abstractNumId w:val="74"/>
  </w:num>
  <w:num w:numId="27">
    <w:abstractNumId w:val="100"/>
  </w:num>
  <w:num w:numId="28">
    <w:abstractNumId w:val="87"/>
  </w:num>
  <w:num w:numId="29">
    <w:abstractNumId w:val="94"/>
  </w:num>
  <w:num w:numId="30">
    <w:abstractNumId w:val="45"/>
  </w:num>
  <w:num w:numId="31">
    <w:abstractNumId w:val="42"/>
  </w:num>
  <w:num w:numId="32">
    <w:abstractNumId w:val="61"/>
  </w:num>
  <w:num w:numId="33">
    <w:abstractNumId w:val="62"/>
  </w:num>
  <w:num w:numId="34">
    <w:abstractNumId w:val="124"/>
  </w:num>
  <w:num w:numId="35">
    <w:abstractNumId w:val="27"/>
  </w:num>
  <w:num w:numId="36">
    <w:abstractNumId w:val="33"/>
  </w:num>
  <w:num w:numId="37">
    <w:abstractNumId w:val="44"/>
  </w:num>
  <w:num w:numId="38">
    <w:abstractNumId w:val="60"/>
  </w:num>
  <w:num w:numId="39">
    <w:abstractNumId w:val="50"/>
  </w:num>
  <w:num w:numId="40">
    <w:abstractNumId w:val="43"/>
  </w:num>
  <w:num w:numId="41">
    <w:abstractNumId w:val="18"/>
  </w:num>
  <w:num w:numId="42">
    <w:abstractNumId w:val="119"/>
  </w:num>
  <w:num w:numId="43">
    <w:abstractNumId w:val="41"/>
  </w:num>
  <w:num w:numId="44">
    <w:abstractNumId w:val="46"/>
  </w:num>
  <w:num w:numId="45">
    <w:abstractNumId w:val="20"/>
  </w:num>
  <w:num w:numId="46">
    <w:abstractNumId w:val="110"/>
  </w:num>
  <w:num w:numId="47">
    <w:abstractNumId w:val="36"/>
  </w:num>
  <w:num w:numId="48">
    <w:abstractNumId w:val="78"/>
  </w:num>
  <w:num w:numId="49">
    <w:abstractNumId w:val="72"/>
  </w:num>
  <w:num w:numId="50">
    <w:abstractNumId w:val="76"/>
  </w:num>
  <w:num w:numId="51">
    <w:abstractNumId w:val="2"/>
  </w:num>
  <w:num w:numId="52">
    <w:abstractNumId w:val="4"/>
  </w:num>
  <w:num w:numId="53">
    <w:abstractNumId w:val="115"/>
  </w:num>
  <w:num w:numId="54">
    <w:abstractNumId w:val="52"/>
  </w:num>
  <w:num w:numId="55">
    <w:abstractNumId w:val="80"/>
  </w:num>
  <w:num w:numId="56">
    <w:abstractNumId w:val="79"/>
  </w:num>
  <w:num w:numId="57">
    <w:abstractNumId w:val="23"/>
  </w:num>
  <w:num w:numId="58">
    <w:abstractNumId w:val="53"/>
  </w:num>
  <w:num w:numId="59">
    <w:abstractNumId w:val="3"/>
  </w:num>
  <w:num w:numId="60">
    <w:abstractNumId w:val="77"/>
  </w:num>
  <w:num w:numId="61">
    <w:abstractNumId w:val="82"/>
  </w:num>
  <w:num w:numId="62">
    <w:abstractNumId w:val="28"/>
  </w:num>
  <w:num w:numId="63">
    <w:abstractNumId w:val="65"/>
  </w:num>
  <w:num w:numId="64">
    <w:abstractNumId w:val="24"/>
  </w:num>
  <w:num w:numId="65">
    <w:abstractNumId w:val="39"/>
  </w:num>
  <w:num w:numId="66">
    <w:abstractNumId w:val="12"/>
  </w:num>
  <w:num w:numId="67">
    <w:abstractNumId w:val="97"/>
  </w:num>
  <w:num w:numId="68">
    <w:abstractNumId w:val="5"/>
  </w:num>
  <w:num w:numId="69">
    <w:abstractNumId w:val="59"/>
  </w:num>
  <w:num w:numId="70">
    <w:abstractNumId w:val="112"/>
  </w:num>
  <w:num w:numId="71">
    <w:abstractNumId w:val="54"/>
  </w:num>
  <w:num w:numId="72">
    <w:abstractNumId w:val="48"/>
  </w:num>
  <w:num w:numId="73">
    <w:abstractNumId w:val="15"/>
  </w:num>
  <w:num w:numId="74">
    <w:abstractNumId w:val="8"/>
  </w:num>
  <w:num w:numId="75">
    <w:abstractNumId w:val="19"/>
  </w:num>
  <w:num w:numId="76">
    <w:abstractNumId w:val="40"/>
  </w:num>
  <w:num w:numId="77">
    <w:abstractNumId w:val="0"/>
  </w:num>
  <w:num w:numId="78">
    <w:abstractNumId w:val="34"/>
  </w:num>
  <w:num w:numId="79">
    <w:abstractNumId w:val="64"/>
  </w:num>
  <w:num w:numId="80">
    <w:abstractNumId w:val="1"/>
  </w:num>
  <w:num w:numId="81">
    <w:abstractNumId w:val="26"/>
  </w:num>
  <w:num w:numId="82">
    <w:abstractNumId w:val="106"/>
  </w:num>
  <w:num w:numId="83">
    <w:abstractNumId w:val="83"/>
  </w:num>
  <w:num w:numId="84">
    <w:abstractNumId w:val="55"/>
  </w:num>
  <w:num w:numId="85">
    <w:abstractNumId w:val="58"/>
  </w:num>
  <w:num w:numId="86">
    <w:abstractNumId w:val="57"/>
  </w:num>
  <w:num w:numId="87">
    <w:abstractNumId w:val="104"/>
  </w:num>
  <w:num w:numId="88">
    <w:abstractNumId w:val="35"/>
  </w:num>
  <w:num w:numId="89">
    <w:abstractNumId w:val="25"/>
  </w:num>
  <w:num w:numId="90">
    <w:abstractNumId w:val="51"/>
  </w:num>
  <w:num w:numId="91">
    <w:abstractNumId w:val="108"/>
  </w:num>
  <w:num w:numId="92">
    <w:abstractNumId w:val="84"/>
  </w:num>
  <w:num w:numId="93">
    <w:abstractNumId w:val="105"/>
  </w:num>
  <w:num w:numId="94">
    <w:abstractNumId w:val="99"/>
  </w:num>
  <w:num w:numId="95">
    <w:abstractNumId w:val="103"/>
  </w:num>
  <w:num w:numId="96">
    <w:abstractNumId w:val="56"/>
  </w:num>
  <w:num w:numId="97">
    <w:abstractNumId w:val="30"/>
  </w:num>
  <w:num w:numId="98">
    <w:abstractNumId w:val="29"/>
  </w:num>
  <w:num w:numId="99">
    <w:abstractNumId w:val="122"/>
  </w:num>
  <w:num w:numId="100">
    <w:abstractNumId w:val="10"/>
  </w:num>
  <w:num w:numId="101">
    <w:abstractNumId w:val="98"/>
  </w:num>
  <w:num w:numId="102">
    <w:abstractNumId w:val="71"/>
  </w:num>
  <w:num w:numId="103">
    <w:abstractNumId w:val="7"/>
  </w:num>
  <w:num w:numId="104">
    <w:abstractNumId w:val="70"/>
  </w:num>
  <w:num w:numId="105">
    <w:abstractNumId w:val="31"/>
  </w:num>
  <w:num w:numId="106">
    <w:abstractNumId w:val="73"/>
  </w:num>
  <w:num w:numId="107">
    <w:abstractNumId w:val="66"/>
  </w:num>
  <w:num w:numId="108">
    <w:abstractNumId w:val="67"/>
  </w:num>
  <w:num w:numId="109">
    <w:abstractNumId w:val="113"/>
  </w:num>
  <w:num w:numId="110">
    <w:abstractNumId w:val="107"/>
  </w:num>
  <w:num w:numId="111">
    <w:abstractNumId w:val="120"/>
  </w:num>
  <w:num w:numId="112">
    <w:abstractNumId w:val="89"/>
  </w:num>
  <w:num w:numId="113">
    <w:abstractNumId w:val="13"/>
  </w:num>
  <w:num w:numId="114">
    <w:abstractNumId w:val="49"/>
  </w:num>
  <w:num w:numId="115">
    <w:abstractNumId w:val="22"/>
  </w:num>
  <w:num w:numId="116">
    <w:abstractNumId w:val="14"/>
  </w:num>
  <w:num w:numId="117">
    <w:abstractNumId w:val="116"/>
  </w:num>
  <w:num w:numId="118">
    <w:abstractNumId w:val="69"/>
  </w:num>
  <w:num w:numId="119">
    <w:abstractNumId w:val="102"/>
  </w:num>
  <w:num w:numId="120">
    <w:abstractNumId w:val="111"/>
  </w:num>
  <w:num w:numId="121">
    <w:abstractNumId w:val="101"/>
  </w:num>
  <w:num w:numId="122">
    <w:abstractNumId w:val="16"/>
  </w:num>
  <w:num w:numId="123">
    <w:abstractNumId w:val="88"/>
  </w:num>
  <w:num w:numId="124">
    <w:abstractNumId w:val="118"/>
  </w:num>
  <w:num w:numId="125">
    <w:abstractNumId w:val="32"/>
  </w:num>
  <w:num w:numId="126">
    <w:abstractNumId w:val="9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98"/>
    <w:rsid w:val="00000190"/>
    <w:rsid w:val="00002E0F"/>
    <w:rsid w:val="00004A6E"/>
    <w:rsid w:val="00005D2F"/>
    <w:rsid w:val="000108DD"/>
    <w:rsid w:val="00010DF1"/>
    <w:rsid w:val="00012668"/>
    <w:rsid w:val="00012E43"/>
    <w:rsid w:val="00014249"/>
    <w:rsid w:val="00015E1F"/>
    <w:rsid w:val="0001648B"/>
    <w:rsid w:val="000225E3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377D6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2D2"/>
    <w:rsid w:val="00077767"/>
    <w:rsid w:val="0008193D"/>
    <w:rsid w:val="00083EF6"/>
    <w:rsid w:val="000840DE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808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014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4FC4"/>
    <w:rsid w:val="001460C5"/>
    <w:rsid w:val="0014646C"/>
    <w:rsid w:val="001518DD"/>
    <w:rsid w:val="001529D1"/>
    <w:rsid w:val="00152D85"/>
    <w:rsid w:val="00153E07"/>
    <w:rsid w:val="00155D05"/>
    <w:rsid w:val="00157CB3"/>
    <w:rsid w:val="00164B3C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97C90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101A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17D41"/>
    <w:rsid w:val="002215A5"/>
    <w:rsid w:val="00221A02"/>
    <w:rsid w:val="00221CB1"/>
    <w:rsid w:val="002225D5"/>
    <w:rsid w:val="002233AE"/>
    <w:rsid w:val="00223EC9"/>
    <w:rsid w:val="002256AF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0B9"/>
    <w:rsid w:val="00283110"/>
    <w:rsid w:val="00285C9E"/>
    <w:rsid w:val="002864C3"/>
    <w:rsid w:val="0029140A"/>
    <w:rsid w:val="00293697"/>
    <w:rsid w:val="002947CC"/>
    <w:rsid w:val="0029699B"/>
    <w:rsid w:val="002A252A"/>
    <w:rsid w:val="002A3648"/>
    <w:rsid w:val="002A3659"/>
    <w:rsid w:val="002A693E"/>
    <w:rsid w:val="002B1B48"/>
    <w:rsid w:val="002B28EB"/>
    <w:rsid w:val="002B79FE"/>
    <w:rsid w:val="002C0190"/>
    <w:rsid w:val="002C0C75"/>
    <w:rsid w:val="002C11D7"/>
    <w:rsid w:val="002C2257"/>
    <w:rsid w:val="002C247E"/>
    <w:rsid w:val="002C4188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2984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385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161E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4515D"/>
    <w:rsid w:val="00450086"/>
    <w:rsid w:val="0045158F"/>
    <w:rsid w:val="004522A4"/>
    <w:rsid w:val="00454BCA"/>
    <w:rsid w:val="00455666"/>
    <w:rsid w:val="0045671C"/>
    <w:rsid w:val="004651C1"/>
    <w:rsid w:val="004658D2"/>
    <w:rsid w:val="0047057C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8A0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DA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D7ACC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452B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101B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0C95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8F7DE6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599"/>
    <w:rsid w:val="009A7BE8"/>
    <w:rsid w:val="009B1117"/>
    <w:rsid w:val="009B797D"/>
    <w:rsid w:val="009C0606"/>
    <w:rsid w:val="009C1334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01D5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2C60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3DE2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380B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0B83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260BA"/>
    <w:rsid w:val="00C26874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10A7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1DFD"/>
    <w:rsid w:val="00D940BF"/>
    <w:rsid w:val="00D965B4"/>
    <w:rsid w:val="00DA094C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0AF7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A740A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5DEF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7701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FB31-B8BE-41C4-893F-24BB4E1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2017-01-02T12:35:00Z</dcterms:created>
  <dcterms:modified xsi:type="dcterms:W3CDTF">2017-03-07T14:10:00Z</dcterms:modified>
</cp:coreProperties>
</file>