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6"/>
        <w:gridCol w:w="660"/>
        <w:gridCol w:w="2117"/>
        <w:gridCol w:w="441"/>
        <w:gridCol w:w="172"/>
        <w:gridCol w:w="7457"/>
        <w:gridCol w:w="26"/>
        <w:gridCol w:w="1449"/>
        <w:gridCol w:w="110"/>
        <w:gridCol w:w="1276"/>
        <w:gridCol w:w="141"/>
      </w:tblGrid>
      <w:tr w:rsidR="001B11BA" w:rsidRPr="00D31E56" w:rsidTr="00DB4D04">
        <w:trPr>
          <w:gridAfter w:val="1"/>
          <w:wAfter w:w="141" w:type="dxa"/>
          <w:trHeight w:val="572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 Operacyjny Inteligentny Rozwój 2014 - 2020</w:t>
            </w:r>
          </w:p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1B11BA" w:rsidRPr="00D31E56" w:rsidTr="00DB4D04">
        <w:trPr>
          <w:gridAfter w:val="1"/>
          <w:wAfter w:w="141" w:type="dxa"/>
          <w:trHeight w:val="572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1B11BA" w:rsidRPr="00D31E56" w:rsidTr="00DB4D04">
        <w:trPr>
          <w:gridAfter w:val="1"/>
          <w:wAfter w:w="141" w:type="dxa"/>
          <w:trHeight w:val="4354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wniosek</w:t>
            </w:r>
          </w:p>
          <w:p w:rsidR="001B11BA" w:rsidRDefault="001B11BA" w:rsidP="005042B7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we właściwej instytucji</w:t>
            </w:r>
          </w:p>
          <w:p w:rsidR="001B11BA" w:rsidRDefault="001B11BA" w:rsidP="005042B7">
            <w:pPr>
              <w:numPr>
                <w:ilvl w:val="0"/>
                <w:numId w:val="45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 terminie wskazanym w ogłoszeniu o konkursie</w:t>
            </w:r>
          </w:p>
          <w:p w:rsidR="001B11BA" w:rsidRDefault="001B11BA" w:rsidP="005042B7">
            <w:pPr>
              <w:spacing w:before="0" w:after="0" w:line="240" w:lineRule="auto"/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0B2FB9" w:rsidRDefault="001B11BA" w:rsidP="00C031DF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wnioskodawca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Wnioskodawca nie podlega wykluczeniu z możliwości ubiegania się o środki europejskie</w:t>
            </w:r>
          </w:p>
          <w:p w:rsidR="001B11BA" w:rsidRDefault="001B11BA" w:rsidP="005042B7">
            <w:pPr>
              <w:numPr>
                <w:ilvl w:val="0"/>
                <w:numId w:val="46"/>
              </w:numPr>
              <w:spacing w:before="0" w:after="0"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3C5033">
              <w:rPr>
                <w:rFonts w:ascii="Arial" w:hAnsi="Arial" w:cs="Arial"/>
                <w:sz w:val="22"/>
                <w:szCs w:val="22"/>
              </w:rPr>
              <w:t>Wnioskodawca prowadzi działalność gospodarczą na terytorium Rzeczypospolitej Polskiej potwierdzoną wpisem do odpowiedniego rejestru</w:t>
            </w:r>
          </w:p>
          <w:p w:rsidR="001B11BA" w:rsidRDefault="001B11BA" w:rsidP="005042B7">
            <w:pPr>
              <w:spacing w:before="0" w:after="0" w:line="240" w:lineRule="auto"/>
              <w:ind w:left="714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Pr="000B2FB9" w:rsidRDefault="001B11BA" w:rsidP="00C031DF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projekt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Realizacja projektu mieści się w ramach czasowych PO IR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Przedmiot projektu nie dotyczy rodzajów działalności wykluczonych z możliwości uzyskania wsparcia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zostanie rozpoczęty po dniu złożenia wniosku o dofinansowanie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Wnioskowana kwota wsparcia jest zgodna z zasadami finansowania projektów obowiązującymi dla działania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jest zgodny z zasadami horyzontalnymi wymienionymi w art. 7 i 8 rozporządzenia Parlamentu Europejskiego i Rady (UE) </w:t>
            </w:r>
            <w:r w:rsidRPr="000B2FB9">
              <w:rPr>
                <w:rFonts w:ascii="Arial" w:hAnsi="Arial" w:cs="Arial"/>
                <w:szCs w:val="22"/>
              </w:rPr>
              <w:br/>
              <w:t>nr 1303/2013</w:t>
            </w:r>
          </w:p>
        </w:tc>
      </w:tr>
      <w:tr w:rsidR="001B11BA" w:rsidRPr="00D31E56" w:rsidTr="00DB4D04">
        <w:trPr>
          <w:gridAfter w:val="1"/>
          <w:wAfter w:w="141" w:type="dxa"/>
          <w:trHeight w:val="427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DF261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924A4" w:rsidRPr="00A924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Wsparcie innowacji w przedsiębiorstwach</w:t>
            </w:r>
            <w:r w:rsidR="00A924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11BA" w:rsidRPr="00D31E56" w:rsidTr="00DB4D04">
        <w:trPr>
          <w:gridAfter w:val="1"/>
          <w:wAfter w:w="141" w:type="dxa"/>
          <w:trHeight w:val="794"/>
        </w:trPr>
        <w:tc>
          <w:tcPr>
            <w:tcW w:w="1661" w:type="dxa"/>
            <w:gridSpan w:val="3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 poddziałania</w:t>
            </w:r>
          </w:p>
        </w:tc>
        <w:tc>
          <w:tcPr>
            <w:tcW w:w="2117" w:type="dxa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7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B11BA" w:rsidRPr="00D31E56" w:rsidTr="00DB4D04">
        <w:trPr>
          <w:gridAfter w:val="1"/>
          <w:wAfter w:w="141" w:type="dxa"/>
          <w:trHeight w:val="577"/>
        </w:trPr>
        <w:tc>
          <w:tcPr>
            <w:tcW w:w="1661" w:type="dxa"/>
            <w:gridSpan w:val="3"/>
            <w:shd w:val="clear" w:color="auto" w:fill="FFFFFF"/>
            <w:vAlign w:val="center"/>
          </w:tcPr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1B11BA" w:rsidRPr="00BC6628" w:rsidRDefault="001B11BA" w:rsidP="00BC662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C662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Finansowanie innowacyjnej działalności MŚP z wykorzystaniem kapitału podwyższonego </w:t>
            </w:r>
            <w:r w:rsidRPr="00BC6628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ryzyka 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31" w:type="dxa"/>
            <w:gridSpan w:val="7"/>
            <w:shd w:val="clear" w:color="auto" w:fill="FFFFFF"/>
            <w:vAlign w:val="center"/>
          </w:tcPr>
          <w:p w:rsidR="001B11BA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 xml:space="preserve">Poddziałanie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3.1.5</w:t>
            </w:r>
          </w:p>
          <w:p w:rsidR="001B11BA" w:rsidRPr="00BC6628" w:rsidRDefault="001B11BA" w:rsidP="00BC6628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</w:pPr>
            <w:r w:rsidRPr="00BC6628"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  <w:t xml:space="preserve">Wsparcie MŚP w dostępie do rynku kapitałowego – 4 Stock 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  <w:p w:rsidR="001B11BA" w:rsidRDefault="001B11BA" w:rsidP="00DB4D0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475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merytoryczne:</w:t>
            </w:r>
          </w:p>
          <w:p w:rsidR="001B11BA" w:rsidRPr="00F946A7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jest zgodny z zakresem działania, a cel projektu jest uzasadniony i racjonalny </w:t>
            </w:r>
            <w:r w:rsidRPr="00F946A7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  <w:p w:rsidR="001B11BA" w:rsidRPr="00D31E56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 (punktacja 0 lub 1)</w:t>
            </w:r>
          </w:p>
          <w:p w:rsidR="001B11BA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Wskaźniki projektu są obiektywnie weryfikowalne, odzwierciedlają założone cele projektu, adekwatne do projektu (punktacja 0 lub 1)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>Wybrany przez wnioskodawcę podmiot doradczy świadczy usługi w zakresie pozyskiwania zewnętrznego finansowania (punktacja 0 lub 1)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Podmiot świadczący usługę doradczą ratingu dla Wnioskodawcy </w:t>
            </w:r>
            <w:r w:rsidRPr="000B2FB9">
              <w:rPr>
                <w:rFonts w:ascii="Arial" w:hAnsi="Arial" w:cs="Arial"/>
                <w:szCs w:val="22"/>
              </w:rPr>
              <w:t xml:space="preserve">figuruje na liście zarejestrowanych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i certyfikowanych agencji ratingowych (jeśli dotyczy, w  zakresie wprowadzenia obligacji na rynek </w:t>
            </w:r>
            <w:proofErr w:type="spellStart"/>
            <w:r w:rsidRPr="000B2FB9">
              <w:rPr>
                <w:rFonts w:ascii="Arial" w:hAnsi="Arial" w:cs="Arial"/>
                <w:szCs w:val="22"/>
              </w:rPr>
              <w:t>Catalyst</w:t>
            </w:r>
            <w:proofErr w:type="spellEnd"/>
            <w:r w:rsidRPr="000B2FB9">
              <w:rPr>
                <w:rFonts w:ascii="Arial" w:hAnsi="Arial" w:cs="Arial"/>
                <w:szCs w:val="22"/>
              </w:rPr>
              <w:t xml:space="preserve">) </w:t>
            </w: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(punktacja 0 lub 1) 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Wnioskodawca posiada zdolność do sfinansowania projektu </w:t>
            </w:r>
            <w:r w:rsidRPr="000B2FB9">
              <w:rPr>
                <w:rFonts w:ascii="Arial" w:hAnsi="Arial" w:cs="Arial"/>
                <w:szCs w:val="22"/>
                <w:lang w:eastAsia="pl-PL"/>
              </w:rPr>
              <w:t>(punktacja 0 lub 1)</w:t>
            </w:r>
          </w:p>
          <w:p w:rsidR="001B11BA" w:rsidRPr="000B2FB9" w:rsidRDefault="001B11BA" w:rsidP="00644EF7">
            <w:pPr>
              <w:pStyle w:val="Akapitzlist"/>
              <w:spacing w:after="0" w:line="240" w:lineRule="auto"/>
              <w:ind w:left="782"/>
              <w:rPr>
                <w:rFonts w:ascii="Arial" w:hAnsi="Arial" w:cs="Arial"/>
                <w:b/>
                <w:szCs w:val="22"/>
              </w:rPr>
            </w:pPr>
          </w:p>
        </w:tc>
      </w:tr>
      <w:tr w:rsidR="001B11BA" w:rsidRPr="00D31E56" w:rsidTr="00DB4D04">
        <w:trPr>
          <w:gridAfter w:val="1"/>
          <w:wAfter w:w="141" w:type="dxa"/>
          <w:trHeight w:val="958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3E2">
              <w:rPr>
                <w:rFonts w:ascii="Arial" w:hAnsi="Arial" w:cs="Arial"/>
                <w:sz w:val="22"/>
                <w:szCs w:val="22"/>
              </w:rPr>
              <w:lastRenderedPageBreak/>
              <w:t xml:space="preserve">Na ocenie merytorycznej można uzyskać </w:t>
            </w:r>
            <w:r>
              <w:rPr>
                <w:rFonts w:ascii="Arial" w:hAnsi="Arial"/>
                <w:b/>
                <w:sz w:val="22"/>
              </w:rPr>
              <w:t>5*</w:t>
            </w:r>
            <w:r w:rsidRPr="00FC33E2">
              <w:rPr>
                <w:rFonts w:ascii="Arial" w:hAnsi="Arial"/>
                <w:b/>
                <w:sz w:val="22"/>
              </w:rPr>
              <w:t xml:space="preserve"> pkt.</w:t>
            </w:r>
            <w:r w:rsidRPr="00FC33E2">
              <w:rPr>
                <w:rFonts w:ascii="Arial" w:hAnsi="Arial" w:cs="Arial"/>
                <w:sz w:val="22"/>
                <w:szCs w:val="22"/>
              </w:rPr>
              <w:t xml:space="preserve"> Aby projekt mógł zostać rekomendowany do udzielania wsparcia musi otrzymać pozytywna ocenę w  zakresie wszystkich kryteriów merytorycznych. </w:t>
            </w:r>
          </w:p>
          <w:p w:rsidR="001B11BA" w:rsidRPr="00FC33E2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D1B">
              <w:rPr>
                <w:rFonts w:ascii="Arial" w:hAnsi="Arial" w:cs="Arial"/>
                <w:b/>
                <w:sz w:val="22"/>
                <w:szCs w:val="22"/>
              </w:rPr>
              <w:t>*6 pkt</w:t>
            </w:r>
            <w:r>
              <w:rPr>
                <w:rFonts w:ascii="Arial" w:hAnsi="Arial" w:cs="Arial"/>
                <w:sz w:val="22"/>
                <w:szCs w:val="22"/>
              </w:rPr>
              <w:t xml:space="preserve">. w przypadku, gdy w ramach projektu w zakresie </w:t>
            </w:r>
            <w:r w:rsidRPr="00695D1B">
              <w:rPr>
                <w:rFonts w:ascii="Arial" w:hAnsi="Arial" w:cs="Arial"/>
                <w:sz w:val="22"/>
                <w:szCs w:val="22"/>
              </w:rPr>
              <w:t>wprowadzeni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5D1B">
              <w:rPr>
                <w:rFonts w:ascii="Arial" w:hAnsi="Arial" w:cs="Arial"/>
                <w:sz w:val="22"/>
                <w:szCs w:val="22"/>
              </w:rPr>
              <w:t xml:space="preserve"> obligacji na rynek </w:t>
            </w:r>
            <w:proofErr w:type="spellStart"/>
            <w:r w:rsidRPr="00695D1B">
              <w:rPr>
                <w:rFonts w:ascii="Arial" w:hAnsi="Arial" w:cs="Arial"/>
                <w:sz w:val="22"/>
                <w:szCs w:val="22"/>
              </w:rPr>
              <w:t>Catalyst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przewidziano pozyskanie dofinansowania na usługę doradczą w zakresie ratingu</w:t>
            </w:r>
          </w:p>
          <w:p w:rsidR="001B11BA" w:rsidRPr="00FC33E2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33E2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:rsidR="001B11BA" w:rsidRPr="00D31E56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3E2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 które uzyskały rekomendacje do objęcia wsparciem po ocenie merytorycznej, o kolejności na liście rankingowej decydować będą kryteria rozstrzygające:</w:t>
            </w:r>
          </w:p>
          <w:p w:rsidR="001B11BA" w:rsidRPr="00FA5922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A5922">
              <w:rPr>
                <w:rFonts w:ascii="Arial" w:hAnsi="Arial" w:cs="Arial"/>
                <w:sz w:val="22"/>
                <w:szCs w:val="22"/>
              </w:rPr>
              <w:t>Poziom intensywności wsparcia wydatków kwalifikowanych</w:t>
            </w:r>
          </w:p>
          <w:p w:rsidR="001B11BA" w:rsidRPr="00FA5922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sz w:val="22"/>
                <w:szCs w:val="22"/>
              </w:rPr>
              <w:t xml:space="preserve">O kolejności wniosków na liście rankingowej rozstrzyga wnioskowana intensywność dofinansowania  wydatków kwalifikowanych projektu. Im niższy iloraz kwoty dofinansowania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kwoty wydatków kwalifikowanych, tym wyższa pozycja na liście rankingowej. Intensywność wsparcia wyrażona jest w 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(wyrażona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z dokładnością do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miejsc po przecinku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A59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11BA" w:rsidRDefault="001B11BA" w:rsidP="00FA5922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Poziom wskaźnika: wynik finansowy netto/kapitał własny x 100% </w:t>
            </w:r>
          </w:p>
          <w:p w:rsidR="001B11BA" w:rsidRPr="00FA5922" w:rsidRDefault="001B11BA" w:rsidP="00FA5922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sz w:val="22"/>
                <w:szCs w:val="22"/>
              </w:rPr>
              <w:t xml:space="preserve">O kolejności wniosków na liście rankingowej rozstrzyga </w:t>
            </w:r>
            <w:r>
              <w:rPr>
                <w:rFonts w:ascii="Arial" w:hAnsi="Arial" w:cs="Arial"/>
                <w:sz w:val="22"/>
                <w:szCs w:val="22"/>
              </w:rPr>
              <w:t>poziom wskaźnika odzwierciedlającego relację wyniku finansowego netto do kapitału własnego, wykazanego przez wnioskodawców w oparciu o ostatnie zatwierdzone (przed dniem złożenia wniosku o dofinansowanie) roczne sprawozdanie finansowe.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617" w:rsidRPr="00DF2617">
              <w:rPr>
                <w:rFonts w:ascii="Arial" w:hAnsi="Arial" w:cs="Arial"/>
                <w:sz w:val="22"/>
                <w:szCs w:val="22"/>
              </w:rPr>
              <w:t>W przypadku braku obowiązku sporządzania sprawdzania finansowego wskaźnik należy wyliczyć w oparciu o dokumenty finansowe wnioskodawcy.</w:t>
            </w:r>
            <w:r w:rsidR="00DF2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wy</w:t>
            </w:r>
            <w:r w:rsidRPr="00FA5922">
              <w:rPr>
                <w:rFonts w:ascii="Arial" w:hAnsi="Arial" w:cs="Arial"/>
                <w:sz w:val="22"/>
                <w:szCs w:val="22"/>
              </w:rPr>
              <w:t>ższ</w:t>
            </w:r>
            <w:r>
              <w:rPr>
                <w:rFonts w:ascii="Arial" w:hAnsi="Arial" w:cs="Arial"/>
                <w:sz w:val="22"/>
                <w:szCs w:val="22"/>
              </w:rPr>
              <w:t xml:space="preserve">a wartość wskaźnika, </w:t>
            </w:r>
            <w:r w:rsidRPr="00FA5922">
              <w:rPr>
                <w:rFonts w:ascii="Arial" w:hAnsi="Arial" w:cs="Arial"/>
                <w:sz w:val="22"/>
                <w:szCs w:val="22"/>
              </w:rPr>
              <w:t>tym wyższa pozycja na liście rankingowej</w:t>
            </w:r>
            <w:r>
              <w:rPr>
                <w:rFonts w:ascii="Arial" w:hAnsi="Arial" w:cs="Arial"/>
                <w:sz w:val="22"/>
                <w:szCs w:val="22"/>
              </w:rPr>
              <w:t>. Na potrzeby rozstrzygnięcia o kolejności projektów na liście rankingowej, przy wyliczeniu poziomu wskaźnika uwzględniany będzie także ujemny wynik finansowy (strata).</w:t>
            </w:r>
          </w:p>
          <w:p w:rsidR="001B11BA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1BA" w:rsidRPr="00D31E56" w:rsidTr="00DB4D04">
        <w:trPr>
          <w:trHeight w:val="287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Kryteria formalne - wniosek</w:t>
            </w:r>
          </w:p>
        </w:tc>
      </w:tr>
      <w:tr w:rsidR="001B11BA" w:rsidRPr="00D31E56" w:rsidTr="00DB4D04">
        <w:trPr>
          <w:trHeight w:val="287"/>
        </w:trPr>
        <w:tc>
          <w:tcPr>
            <w:tcW w:w="1001" w:type="dxa"/>
            <w:gridSpan w:val="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ind w:left="284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90" w:type="dxa"/>
            <w:gridSpan w:val="4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83" w:type="dxa"/>
            <w:gridSpan w:val="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49" w:type="dxa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3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DB4D04">
        <w:trPr>
          <w:trHeight w:val="504"/>
        </w:trPr>
        <w:tc>
          <w:tcPr>
            <w:tcW w:w="1001" w:type="dxa"/>
            <w:gridSpan w:val="2"/>
            <w:vAlign w:val="center"/>
          </w:tcPr>
          <w:p w:rsidR="001B11BA" w:rsidRPr="00D31E56" w:rsidRDefault="001B11BA" w:rsidP="00C031DF">
            <w:pPr>
              <w:numPr>
                <w:ilvl w:val="0"/>
                <w:numId w:val="51"/>
              </w:num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4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we właściwej instytucji </w:t>
            </w:r>
          </w:p>
        </w:tc>
        <w:tc>
          <w:tcPr>
            <w:tcW w:w="7483" w:type="dxa"/>
            <w:gridSpan w:val="2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Wniosek złożono we właściwej Instytucji w odpowiedzi na ogłoszony konkurs, o którym mowa w art. 39 ust. 1 ustawy z dnia 11 lipca 2014 r.  o zasadach realizacji programów w zakresie polityki spójności finansowanych w perspektywie finansowej 2014–2020.</w:t>
            </w:r>
          </w:p>
        </w:tc>
        <w:tc>
          <w:tcPr>
            <w:tcW w:w="1449" w:type="dxa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504"/>
        </w:trPr>
        <w:tc>
          <w:tcPr>
            <w:tcW w:w="1001" w:type="dxa"/>
            <w:gridSpan w:val="2"/>
            <w:vAlign w:val="center"/>
          </w:tcPr>
          <w:p w:rsidR="001B11BA" w:rsidRPr="00D31E56" w:rsidRDefault="001B11BA" w:rsidP="00C031DF">
            <w:pPr>
              <w:numPr>
                <w:ilvl w:val="0"/>
                <w:numId w:val="51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4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 terminie wskazanym w ogłoszeniu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o konkursie</w:t>
            </w:r>
          </w:p>
        </w:tc>
        <w:tc>
          <w:tcPr>
            <w:tcW w:w="7483" w:type="dxa"/>
            <w:gridSpan w:val="2"/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Wniosek został złożony z zachowaniem terminu, o którym mowa </w:t>
            </w:r>
            <w:r w:rsidRPr="000B2FB9">
              <w:rPr>
                <w:rFonts w:ascii="Arial" w:hAnsi="Arial" w:cs="Arial"/>
                <w:szCs w:val="22"/>
              </w:rPr>
              <w:br/>
              <w:t>w ogłoszeniu o konkursie.</w:t>
            </w:r>
          </w:p>
        </w:tc>
        <w:tc>
          <w:tcPr>
            <w:tcW w:w="1449" w:type="dxa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B4D04" w:rsidRPr="00D31E56" w:rsidTr="00DB4D04">
        <w:trPr>
          <w:trHeight w:val="330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wnioskodawca</w:t>
            </w:r>
          </w:p>
        </w:tc>
      </w:tr>
      <w:tr w:rsidR="00DB4D04" w:rsidRPr="00D31E56" w:rsidTr="00DB4D04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83" w:type="dxa"/>
            <w:gridSpan w:val="2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49" w:type="dxa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3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DB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nie podlega wykluczeniu z możliwości ubiegania się o środki europejskie 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art. 211  ustawy z dnia 30 czerwca 2005 r. o finansach publicznych;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>art. 207 ustawy z dnia 27 sierpnia 2009 r. o finansach publicznych;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9 ust. 1 pkt 2a ustawy z dnia 28 października 2002 r. </w:t>
            </w:r>
            <w:r w:rsidRPr="000B2FB9">
              <w:rPr>
                <w:rFonts w:ascii="Arial" w:hAnsi="Arial" w:cs="Arial"/>
                <w:szCs w:val="22"/>
              </w:rPr>
              <w:br/>
              <w:t>o odpowiedzialności podmiotów zbiorowych za czyny zabronione pod groźbą kary;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przepisów zawartych w art. 6b ust. 3 ustawy z dnia 9 listopada 2000 r. o utworzeniu Polskiej Agencji Rozwoju Przedsiębiorczości;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przepisów zawartych w art. 37 ust. 3 ustawy z dnia 11 lipca 2014 r. </w:t>
            </w:r>
            <w:r w:rsidRPr="000B2FB9">
              <w:rPr>
                <w:rFonts w:ascii="Arial" w:hAnsi="Arial" w:cs="Arial"/>
                <w:szCs w:val="22"/>
              </w:rPr>
              <w:br/>
              <w:t>o zasadach realizacji programów w zakresie polityki spójności finansowanych w perspektywie finansowej 2014–2020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oraz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lastRenderedPageBreak/>
              <w:t xml:space="preserve">wnioskodawca oświadcza, że nie znajduje się w trudnej sytuacji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w rozumieniu unijnych przepisów dotyczących pomocy państwa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(w szczególności Rozporządzenia Komisji (UE) nr 651/2014 z dnia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17 czerwca 2014 r. uznającego niektóre rodzaje pomocy za zgodne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z rynkiem wewnętrznym w zastosowaniu art. 107 i 108 Traktatu);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na wnioskodawcy nie ciąży obowiązek zwrotu pomocy publicznej, wynikający z decyzji Komisji Europejskiej uznającej taką pomoc za niezgodną z prawem oraz z rynkiem wewnętrznym.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będzie weryfikowane na podstawie oświadczenia, będącego integralną częścią wniosku o dofinansowanie. Przed podpisaniem umowy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o dofinansowanie projektu dokonana zostanie weryfikacja spełniania powyższych warunków w szczególności w oparciu o dokumenty wskazane w Regulaminie Konkursu. Dodatkowo Polska Agencja Rozwoju Przedsiębiorczości wystąpi do Ministra Finansów o informację czy wyłoniony (rekomendowany do dofinansowania Wnioskodawca) nie widnieje w Rejestrze podmiotów wykluczonych.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Wnioskodawca prowadzi działalność gospodarczą na terytorium Rzeczypospolitej Polskiej potwierdzoną wpisem do odpowiedniego rejestru 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potwierdzoną wpisem do odpowiedniego rejestru: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3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1A">
              <w:rPr>
                <w:rFonts w:ascii="Arial" w:hAnsi="Arial" w:cs="Arial"/>
                <w:sz w:val="22"/>
                <w:szCs w:val="22"/>
              </w:rPr>
              <w:t>w przypadku przedsiębiorców ujętych w Centralnej Ewidencji i Informacji Działalności Gospodarczej co najmniej jeden adres wykonywania działalności gospodarczej znajduje się na terytorium Rzeczypospolitej Polskiej.</w:t>
            </w: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D31E56" w:rsidRDefault="001B11BA" w:rsidP="004327B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Kryteria formalne - projekt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Realizacja projektu mieści się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w ramach czasowych PO IR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0B6F1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>Dodatkowo, okres realizacji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obejmuje czas na przygotowanie dokumentacji niezbędnej do pozyskania kapitału o charakterze udziałowym lub dłużnym oraz na pozyskanie kapitału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nie przekracza</w:t>
            </w:r>
            <w:r>
              <w:rPr>
                <w:rFonts w:ascii="Arial" w:hAnsi="Arial" w:cs="Arial"/>
                <w:sz w:val="22"/>
                <w:szCs w:val="22"/>
              </w:rPr>
              <w:t xml:space="preserve"> maksymalnego czasu wskazanego w Regulaminie Konkursu.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Przedmiot projektu nie dotyczy rodzajów działalności wykluczonych z możliwości uzyskania wsparcia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D31E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§ 4 ust. 3 Rozporządzenia Ministra Infrastruktury i Rozwoju </w:t>
            </w:r>
            <w:r w:rsidRPr="000B2FB9">
              <w:rPr>
                <w:rFonts w:ascii="Arial" w:hAnsi="Arial" w:cs="Arial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szCs w:val="22"/>
              </w:rPr>
              <w:t xml:space="preserve">. 2015,  poz.1027);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1 Rozporządzenia Komisji (UE) nr 651/2014 z dnia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17 czerwca 2014 r. uznającego niektóre rodzaje pomocy za zgodne </w:t>
            </w:r>
            <w:r w:rsidRPr="000B2FB9">
              <w:rPr>
                <w:rFonts w:ascii="Arial" w:hAnsi="Arial" w:cs="Arial"/>
                <w:szCs w:val="22"/>
              </w:rPr>
              <w:br/>
              <w:t>z rynkiem wewnętrznym w zastosowaniu art. 107 i 108 Traktatu);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3 ust. 3 Rozporządzenia  PE i Rady (UE) nr 1301/2013 </w:t>
            </w:r>
            <w:r w:rsidRPr="000B2FB9">
              <w:rPr>
                <w:rFonts w:ascii="Arial" w:hAnsi="Arial" w:cs="Arial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1080/2006).</w:t>
            </w:r>
          </w:p>
          <w:p w:rsidR="001B11BA" w:rsidRPr="003D2AE6" w:rsidRDefault="001B11BA" w:rsidP="005E5CA1">
            <w:pPr>
              <w:spacing w:before="120"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5E5CA1">
              <w:rPr>
                <w:rFonts w:ascii="Arial" w:hAnsi="Arial" w:cs="Arial"/>
                <w:sz w:val="22"/>
                <w:szCs w:val="22"/>
              </w:rPr>
              <w:t>Ocena kryterium nastąpi poprzez weryfikację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kwalifikowanych.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zostanie rozpoczęty po dniu złożenia wniosku </w:t>
            </w:r>
            <w:r w:rsidRPr="000B2FB9">
              <w:rPr>
                <w:rFonts w:ascii="Arial" w:hAnsi="Arial" w:cs="Arial"/>
                <w:szCs w:val="22"/>
              </w:rPr>
              <w:br/>
              <w:t>o dofinansowanie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DB4D0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Na podstawie informacji zawartych we wniosku o dofinansowanie dokonuje się oceny, czy wnioskodawca nie rozpoczął realizacji projektu przed złożeniem wniosku o dofinansowanie.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Wnioskowana kwota wsparcia jest zgodna z zasadami finansowania projektów obowiązującymi dla działania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535F54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F54">
              <w:rPr>
                <w:rFonts w:ascii="Arial" w:hAnsi="Arial" w:cs="Arial"/>
                <w:b/>
                <w:sz w:val="22"/>
                <w:szCs w:val="22"/>
              </w:rPr>
              <w:t>Wnioskowana kwota wsparcia spełnia wymogi działania:</w:t>
            </w:r>
          </w:p>
          <w:p w:rsidR="001B11BA" w:rsidRPr="00A03A42" w:rsidRDefault="001B11BA" w:rsidP="004A0480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A42">
              <w:rPr>
                <w:rFonts w:ascii="Arial" w:hAnsi="Arial" w:cs="Arial"/>
                <w:sz w:val="22"/>
                <w:szCs w:val="22"/>
              </w:rPr>
              <w:t>Wnioskodawca może aplikować o dofinansowanie w ramach tylko jednego rynku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NewConnect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GPW, zagraniczny rynek regulowany lub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Catalyst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B11BA" w:rsidRDefault="001B11BA" w:rsidP="00C4715C">
            <w:pPr>
              <w:rPr>
                <w:rFonts w:ascii="Arial" w:hAnsi="Arial" w:cs="Arial"/>
                <w:sz w:val="22"/>
                <w:szCs w:val="22"/>
              </w:rPr>
            </w:pPr>
            <w:r w:rsidRPr="00C4715C">
              <w:rPr>
                <w:rFonts w:ascii="Arial" w:hAnsi="Arial" w:cs="Arial"/>
                <w:sz w:val="22"/>
                <w:szCs w:val="22"/>
              </w:rPr>
              <w:t>W zależności od wyboru rynku kapitałowego oraz skutecznego pozyskania środków zróżnicowana jest maksymalna kwota dofinansowania: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 xml:space="preserve">W przypadku projektu dotyczącego </w:t>
            </w:r>
            <w:r w:rsidR="00987843" w:rsidRPr="00987843">
              <w:rPr>
                <w:rFonts w:ascii="Arial" w:hAnsi="Arial" w:cs="Arial"/>
                <w:b/>
                <w:szCs w:val="22"/>
              </w:rPr>
              <w:t>emisji nowej serii akcji</w:t>
            </w:r>
            <w:r w:rsidR="007E5A5A">
              <w:rPr>
                <w:rFonts w:ascii="Arial" w:hAnsi="Arial" w:cs="Arial"/>
                <w:b/>
                <w:szCs w:val="22"/>
              </w:rPr>
              <w:t xml:space="preserve"> </w:t>
            </w:r>
            <w:bookmarkStart w:id="0" w:name="_GoBack"/>
            <w:bookmarkEnd w:id="0"/>
            <w:r w:rsidRPr="000B2FB9">
              <w:rPr>
                <w:rFonts w:ascii="Arial" w:hAnsi="Arial" w:cs="Arial"/>
                <w:b/>
                <w:szCs w:val="22"/>
              </w:rPr>
              <w:t xml:space="preserve"> Spółki na rynku </w:t>
            </w:r>
            <w:proofErr w:type="spellStart"/>
            <w:r w:rsidRPr="000B2FB9">
              <w:rPr>
                <w:rFonts w:ascii="Arial" w:hAnsi="Arial" w:cs="Arial"/>
                <w:b/>
                <w:szCs w:val="22"/>
              </w:rPr>
              <w:t>NewConnect</w:t>
            </w:r>
            <w:proofErr w:type="spellEnd"/>
            <w:r w:rsidRPr="000B2FB9">
              <w:rPr>
                <w:rFonts w:ascii="Arial" w:hAnsi="Arial" w:cs="Arial"/>
                <w:szCs w:val="22"/>
              </w:rPr>
              <w:t>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100 tys. zł</w:t>
            </w:r>
            <w:r w:rsidRPr="000B2FB9">
              <w:rPr>
                <w:rFonts w:ascii="Arial" w:hAnsi="Arial" w:cs="Arial"/>
                <w:szCs w:val="22"/>
              </w:rPr>
              <w:t xml:space="preserve">, 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maksymalny poziom dofinansowania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nie przekracza 50% kosztów kwalifikowalnych zgodnie z §37 rozporządzenia Ministra Infrastruktury i Rozwoju z dnia 10 lipca 2015 r. 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>. 2015,  poz.1027);</w:t>
            </w:r>
          </w:p>
          <w:p w:rsidR="001B11BA" w:rsidRPr="000B2FB9" w:rsidRDefault="001B11BA" w:rsidP="007C27D9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debiutem </w:t>
            </w:r>
            <w:r w:rsidR="007E5A5A" w:rsidRPr="007E5A5A">
              <w:rPr>
                <w:rFonts w:ascii="Arial" w:hAnsi="Arial" w:cs="Arial"/>
                <w:color w:val="000000"/>
                <w:szCs w:val="22"/>
              </w:rPr>
              <w:t xml:space="preserve">lub kolejną emisją nowej serii akcji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 30 tys. zł (jednak nie więcej niż 30% całkowitej wartości dofinansowania może zostać wypłacone w postaci zaliczki). W przypadku pozyskania środków z emisji akcji na rynku 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NewConnect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jedynie w postaci refundacji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7E5A5A" w:rsidRPr="007E5A5A">
              <w:rPr>
                <w:rFonts w:ascii="Arial" w:hAnsi="Arial" w:cs="Arial"/>
                <w:b/>
                <w:szCs w:val="22"/>
              </w:rPr>
              <w:t>emisji nowej serii akcji</w:t>
            </w:r>
            <w:r w:rsidR="007E5A5A">
              <w:rPr>
                <w:rFonts w:ascii="Times New Roman" w:hAnsi="Times New Roman"/>
                <w:szCs w:val="23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 Spółki na rynku regulowanym GPW: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800 tys. zł;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maksymalny poziom dofinansowania nie przekracza 50% kosztów kwalifikowalnych zgodnie z §37 rozporządzenia Ministra Infrastruktury i Rozwoju z dnia 10 lipca 2015 r.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br/>
              <w:t>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>. 2015,  poz.1027);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debiutem </w:t>
            </w:r>
            <w:r w:rsidR="007E5A5A" w:rsidRPr="007E5A5A">
              <w:rPr>
                <w:rFonts w:ascii="Arial" w:hAnsi="Arial" w:cs="Arial"/>
                <w:color w:val="000000"/>
                <w:szCs w:val="22"/>
              </w:rPr>
              <w:t xml:space="preserve">lub kolejną emisją nowej serii akcji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</w:t>
            </w:r>
            <w:r w:rsidRPr="000B2FB9">
              <w:rPr>
                <w:rFonts w:ascii="Arial" w:hAnsi="Arial" w:cs="Arial"/>
                <w:szCs w:val="22"/>
              </w:rPr>
              <w:t xml:space="preserve">100 tys. zł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(jednak nie więcej niż 30% całkowitej wartości dofinansowania może zostać wypłacone w postaci zaliczki)</w:t>
            </w:r>
            <w:r w:rsidRPr="000B2FB9">
              <w:rPr>
                <w:rFonts w:ascii="Arial" w:hAnsi="Arial" w:cs="Arial"/>
                <w:szCs w:val="22"/>
              </w:rPr>
              <w:t xml:space="preserve">. W przypadku pozyskania środków z emisji akcji na rynku  regulowanym GPW </w:t>
            </w:r>
            <w:r w:rsidRPr="00DB4D04">
              <w:rPr>
                <w:rFonts w:ascii="Arial" w:hAnsi="Arial" w:cs="Arial"/>
                <w:szCs w:val="22"/>
              </w:rPr>
              <w:t>wypłacie podlega pozostała część przyznanego dofinansowania jedynie w postaci refundacji</w:t>
            </w:r>
            <w:r w:rsidRPr="000B2FB9">
              <w:rPr>
                <w:rFonts w:ascii="Arial" w:hAnsi="Arial" w:cs="Arial"/>
                <w:szCs w:val="22"/>
              </w:rPr>
              <w:t xml:space="preserve">. 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073059" w:rsidRPr="00073059">
              <w:rPr>
                <w:rFonts w:ascii="Arial" w:hAnsi="Arial" w:cs="Arial"/>
                <w:b/>
                <w:szCs w:val="22"/>
              </w:rPr>
              <w:t>emisji nowej serii akcji</w:t>
            </w:r>
            <w:r w:rsidR="00073059" w:rsidRPr="00356B2B">
              <w:rPr>
                <w:rFonts w:ascii="Times New Roman" w:hAnsi="Times New Roman"/>
                <w:szCs w:val="23"/>
              </w:rPr>
              <w:t xml:space="preserve"> </w:t>
            </w:r>
            <w:r w:rsidR="00073059" w:rsidRPr="00302633">
              <w:rPr>
                <w:rFonts w:ascii="Times New Roman" w:hAnsi="Times New Roman"/>
                <w:szCs w:val="23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>Spółki na zagranicznym rynku regulowanym: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800 tys. zł;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maksymalny poziom dofinansowania nie przekracza 50% kosztów kwalifikowalnych zgodnie z §37 rozporządzenia Ministra Infrastruktury i Rozwoju z dnia 10 lipca 2015 r.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br/>
              <w:t>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>. 2015,  poz.1027);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debiutem </w:t>
            </w:r>
            <w:r w:rsidR="00073059" w:rsidRPr="007D385B">
              <w:rPr>
                <w:rFonts w:ascii="Arial" w:hAnsi="Arial" w:cs="Arial"/>
                <w:color w:val="000000"/>
                <w:szCs w:val="22"/>
              </w:rPr>
              <w:t xml:space="preserve">lub kolejną emisją nowej serii akcji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</w:t>
            </w:r>
            <w:r w:rsidRPr="000B2FB9">
              <w:rPr>
                <w:rFonts w:ascii="Arial" w:hAnsi="Arial" w:cs="Arial"/>
                <w:szCs w:val="22"/>
              </w:rPr>
              <w:t xml:space="preserve">100 tys. zł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(jednak nie więcej niż 30% całkowitej wartości dofinansowania może zostać wypłacone w postaci zaliczki)</w:t>
            </w:r>
            <w:r w:rsidRPr="000B2FB9">
              <w:rPr>
                <w:rFonts w:ascii="Arial" w:hAnsi="Arial" w:cs="Arial"/>
                <w:szCs w:val="22"/>
              </w:rPr>
              <w:t xml:space="preserve">. W przypadku pozyskania środków z </w:t>
            </w:r>
            <w:r w:rsidRPr="000B2FB9">
              <w:rPr>
                <w:rFonts w:ascii="Arial" w:hAnsi="Arial" w:cs="Arial"/>
                <w:szCs w:val="22"/>
              </w:rPr>
              <w:lastRenderedPageBreak/>
              <w:t xml:space="preserve">zagranicznego rynku regulowanego </w:t>
            </w:r>
            <w:r w:rsidRPr="00DB4D04">
              <w:rPr>
                <w:rFonts w:ascii="Arial" w:hAnsi="Arial" w:cs="Arial"/>
                <w:szCs w:val="22"/>
              </w:rPr>
              <w:t>wypłacie podlega pozostała część przyznanego dofinansowania jedynie w postaci refundacji</w:t>
            </w:r>
            <w:r w:rsidRPr="000B2FB9">
              <w:rPr>
                <w:rFonts w:ascii="Arial" w:hAnsi="Arial" w:cs="Arial"/>
                <w:szCs w:val="22"/>
              </w:rPr>
              <w:t>.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W przypadku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wprowadzenia obligacji na rynek </w:t>
            </w:r>
            <w:proofErr w:type="spellStart"/>
            <w:r w:rsidRPr="000B2FB9">
              <w:rPr>
                <w:rFonts w:ascii="Arial" w:hAnsi="Arial" w:cs="Arial"/>
                <w:b/>
                <w:szCs w:val="22"/>
              </w:rPr>
              <w:t>Catalyst</w:t>
            </w:r>
            <w:proofErr w:type="spellEnd"/>
            <w:r w:rsidRPr="000B2FB9">
              <w:rPr>
                <w:rFonts w:ascii="Arial" w:hAnsi="Arial" w:cs="Arial"/>
                <w:b/>
                <w:szCs w:val="22"/>
              </w:rPr>
              <w:t>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 tys. zł</w:t>
            </w:r>
            <w:r w:rsidRPr="000B2FB9">
              <w:rPr>
                <w:rFonts w:ascii="Arial" w:hAnsi="Arial" w:cs="Arial"/>
                <w:szCs w:val="22"/>
              </w:rPr>
              <w:t xml:space="preserve">; 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>maksymalny poziom dofinansowania nie przekracza 50% kosztów kwalifikowalnych zgodnie z §37 rozporządzenia Ministra Infrastruktury i Rozwoju z dnia 10 lipca 2015 r. 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>. 2015,  poz.1027);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emisją obligacji w postaci zaliczki lub refundacji może wynieść maksymalnie 40 tys. zł (jednak nie więcej niż 30% całkowitej wartości dofinansowania może zostać wypłacone w postaci zaliczki). W przypadku pozyskania środków z emisji obligacji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jedynie w postaci refundacji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W przypadku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>projektu dotyczącego kolejnej emisji obligacji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na rynku </w:t>
            </w:r>
            <w:proofErr w:type="spellStart"/>
            <w:r w:rsidRPr="000B2FB9">
              <w:rPr>
                <w:rFonts w:ascii="Arial" w:hAnsi="Arial" w:cs="Arial"/>
                <w:b/>
                <w:szCs w:val="22"/>
              </w:rPr>
              <w:t>Catalyst</w:t>
            </w:r>
            <w:proofErr w:type="spellEnd"/>
            <w:r w:rsidRPr="000B2FB9">
              <w:rPr>
                <w:rFonts w:ascii="Arial" w:hAnsi="Arial" w:cs="Arial"/>
                <w:b/>
                <w:szCs w:val="22"/>
              </w:rPr>
              <w:t>:</w:t>
            </w:r>
          </w:p>
          <w:p w:rsidR="001B11BA" w:rsidRPr="000B2FB9" w:rsidRDefault="001B11BA" w:rsidP="00C367FD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60 tys. zł;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</w:p>
          <w:p w:rsidR="001B11BA" w:rsidRPr="000B2FB9" w:rsidRDefault="001B11BA" w:rsidP="00DB4D04">
            <w:pPr>
              <w:pStyle w:val="Akapitzlist"/>
              <w:numPr>
                <w:ilvl w:val="1"/>
                <w:numId w:val="73"/>
              </w:numPr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>maksymalny poziom dofinansowania nie przekracza 50% kosztów kwalifikowalnych zgodnie z §37 rozporządzenia Ministra Infrastruktury i Rozwoju z dnia 10 lipca 2015 r. w sprawie udzielania przez Polską Agencję Rozwoju Przedsiębiorczości pomocy finansowej w ramach Programu Operacyjnego Inteligentny Rozwój 2014-2020 (</w:t>
            </w:r>
            <w:proofErr w:type="spellStart"/>
            <w:r w:rsidRPr="000B2FB9">
              <w:rPr>
                <w:rFonts w:ascii="Arial" w:hAnsi="Arial" w:cs="Arial"/>
                <w:color w:val="000000"/>
                <w:szCs w:val="22"/>
              </w:rPr>
              <w:t>Dz.U</w:t>
            </w:r>
            <w:proofErr w:type="spellEnd"/>
            <w:r w:rsidRPr="000B2FB9">
              <w:rPr>
                <w:rFonts w:ascii="Arial" w:hAnsi="Arial" w:cs="Arial"/>
                <w:color w:val="000000"/>
                <w:szCs w:val="22"/>
              </w:rPr>
              <w:t>. 2015,  poz.1027);</w:t>
            </w:r>
          </w:p>
          <w:p w:rsidR="001B11BA" w:rsidRPr="000B2FB9" w:rsidRDefault="001B11BA" w:rsidP="00DB4D04">
            <w:pPr>
              <w:pStyle w:val="Akapitzlist"/>
              <w:numPr>
                <w:ilvl w:val="1"/>
                <w:numId w:val="73"/>
              </w:numPr>
              <w:shd w:val="clear" w:color="auto" w:fill="FFFFFF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emisją obligacji w postaci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zaliczki lub refundacji może wynieść maksymalnie 30 tys. zł (jednak nie więcej niż 30% całkowitej wartości dofinansowania może zostać wypłacone w postaci zaliczki). W przypadku pozyskania środków z emisji obligacji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jedynie w postaci refundacji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jest zgodny z zasadami horyzontalnymi wymienionymi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w art. 7 i 8 rozporządzenia Parlamentu Europejskiego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i Rady (UE) nr 1303/2013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deklaruje, że projekt jest zgodny z zasadą równości szans oraz zasadą zrównoważonego rozwoju, o których mowa w art. 7 i 8 rozporządzenia Parlamentu Europejskiego i Rady (UE) nr 1303/2013. 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Kryterium uznaje się za spełnione, jeżeli projekt ma co najmniej neutralny wpływ na obie wyżej wymienione zasady horyzontalne. Ocena jest dokonywana na podstawie oświadczenia Wnioskodawcy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Default="001B11BA" w:rsidP="00BA6C6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Ocena:</w:t>
            </w:r>
          </w:p>
          <w:p w:rsidR="001B11BA" w:rsidRDefault="001B11BA" w:rsidP="00BA6C6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– projekt nie jest zgodny z zasadami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i Rady (UE) nr 1303/2013 lub jest zgodny z jedną z nich; </w:t>
            </w:r>
          </w:p>
          <w:p w:rsidR="001B11BA" w:rsidRDefault="001B11BA" w:rsidP="00BA6C6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- projekt jest zgodny z obiema zasadami horyzontalnymi wymienionymi w art. 7 i 8 rozporządzenia Parlamentu Europejskiego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i Rady (UE) nr 1303/2013.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533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B4D04" w:rsidRDefault="001B11BA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4D04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Kryterium formalne specyficzne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w rozumieniu załącznika I do rozporządzenia Komisji (UE)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r 651/2014 z dnia 17 czerwca 2014 r. uznającego niektóre rodzaje pomocy za zgodne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624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Kryteria merytoryczne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3F70C3" w:rsidRDefault="001B11BA" w:rsidP="00C031DF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jest zgodny z zakresem działania, a założone do realizacji cele są uzasadnione i racjonalne.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ramach poddziałania wsparcie może być udzielone w celu przygotowania niezbędnej dokumentacji do pozyskania kapitału o charakterze udziałowym na rynkach kapitałowych (GPW,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NewConnect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zagraniczne rynki regulowane) lub o charakterze dłużnym poprzez emisję obligacji na rynku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Catalyst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11BA" w:rsidRDefault="001B11BA" w:rsidP="00D6504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0C3">
              <w:rPr>
                <w:rFonts w:ascii="Arial" w:hAnsi="Arial" w:cs="Arial"/>
                <w:sz w:val="22"/>
                <w:szCs w:val="22"/>
              </w:rPr>
              <w:t>Na podstawie opisu we wniosku bada się, czy Wnioskodawca przeprowadził analizę, z której jednoznacznie wynika zasadność pozyskania kapitału z danego rynku kapitałowego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Zakres działania i cel projektu wynika z przeprowadzonej analizy potrzeb. </w:t>
            </w:r>
          </w:p>
          <w:p w:rsidR="001B11BA" w:rsidRDefault="001B11BA" w:rsidP="000D10C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Weryfikacji podlega również czy wnioskodawca zakłada, że kapitał pozyskany na podstawie dokumentacji, której przygotowanie jest objęte dofinansowaniem, będzie przeznaczony na realizację innowacyjnych przedsięwzięć.  </w:t>
            </w:r>
          </w:p>
          <w:p w:rsidR="001B11BA" w:rsidRDefault="001B11BA" w:rsidP="0029032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:rsidR="001B11BA" w:rsidRDefault="001B11BA" w:rsidP="0091388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91388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pkt – Projekt nie jest zgodny z zakresem działania lub cel projektu nie jest uzasadniony lub racjonalny; </w:t>
            </w:r>
          </w:p>
          <w:p w:rsidR="001B11BA" w:rsidRPr="00D31E56" w:rsidRDefault="001B11BA" w:rsidP="000B6F1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– Projekt jest zgodny z zakresem działania a cel projektu jest uzasadniony i racjonalny.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044AA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uzasadnione i racjonalne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Wydatki planowane do poniesienia w ramach projektu i przewidziane do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objęcia wsparciem muszą być uzasadnione i racjonalne w stosunku do zaplanowanych przez Wnioskodawcę działań i celów projektu oraz celów określonych dla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 Wnioskodawc</w:t>
            </w:r>
            <w:r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wskazanych przez Wnioskodawcę jako kwalifikowalne w ramach projektu zgodnie z Regulaminem </w:t>
            </w:r>
            <w:r>
              <w:rPr>
                <w:rFonts w:ascii="Arial" w:hAnsi="Arial" w:cs="Arial"/>
                <w:sz w:val="22"/>
                <w:szCs w:val="22"/>
              </w:rPr>
              <w:t>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. W przypadku, gdy dokonanie korekty spowodowałoby przekroczenie progu procentowego określonego w Regulaminie </w:t>
            </w:r>
            <w:r>
              <w:rPr>
                <w:rFonts w:ascii="Arial" w:hAnsi="Arial" w:cs="Arial"/>
                <w:sz w:val="22"/>
                <w:szCs w:val="22"/>
              </w:rPr>
              <w:t>Konkursu,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kryterium uznaje się </w:t>
            </w:r>
            <w:r w:rsidRPr="00D31149">
              <w:rPr>
                <w:rFonts w:ascii="Arial" w:hAnsi="Arial" w:cs="Arial"/>
                <w:sz w:val="22"/>
                <w:szCs w:val="22"/>
              </w:rPr>
              <w:t xml:space="preserve">za niespełnione. 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Wydatki kwalifikowalne są uzasadnione oraz racjonalne.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BB5106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:rsidR="001B11BA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E90B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świadczy usługi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Pr="00913881" w:rsidRDefault="001B11BA" w:rsidP="00E90B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C94DAB">
            <w:pPr>
              <w:spacing w:line="240" w:lineRule="auto"/>
              <w:jc w:val="both"/>
              <w:rPr>
                <w:rFonts w:ascii="Arial" w:hAnsi="Arial" w:cs="Arial"/>
                <w:caps/>
                <w:spacing w:val="1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oceny kryterium badane jest czy </w:t>
            </w:r>
            <w:r w:rsidRPr="00942008">
              <w:rPr>
                <w:rFonts w:ascii="Arial" w:hAnsi="Arial" w:cs="Arial"/>
                <w:sz w:val="22"/>
                <w:szCs w:val="22"/>
              </w:rPr>
              <w:t>wskaza</w:t>
            </w:r>
            <w:r>
              <w:rPr>
                <w:rFonts w:ascii="Arial" w:hAnsi="Arial" w:cs="Arial"/>
                <w:sz w:val="22"/>
                <w:szCs w:val="22"/>
              </w:rPr>
              <w:t>ny/wskazane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we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42008">
              <w:rPr>
                <w:rFonts w:ascii="Arial" w:hAnsi="Arial" w:cs="Arial"/>
                <w:sz w:val="22"/>
                <w:szCs w:val="22"/>
              </w:rPr>
              <w:t>niosku o dofina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42008">
              <w:rPr>
                <w:rFonts w:ascii="Arial" w:hAnsi="Arial" w:cs="Arial"/>
                <w:sz w:val="22"/>
                <w:szCs w:val="22"/>
              </w:rPr>
              <w:t>sowanie podmiot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podmioty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które będą świadczyły usługi doradcze w </w:t>
            </w:r>
            <w:r>
              <w:rPr>
                <w:rFonts w:ascii="Arial" w:hAnsi="Arial" w:cs="Arial"/>
                <w:sz w:val="22"/>
                <w:szCs w:val="22"/>
              </w:rPr>
              <w:t xml:space="preserve">zakresie przewidzianym w </w:t>
            </w:r>
            <w:r w:rsidRPr="00942008">
              <w:rPr>
                <w:rFonts w:ascii="Arial" w:hAnsi="Arial" w:cs="Arial"/>
                <w:sz w:val="22"/>
                <w:szCs w:val="22"/>
              </w:rPr>
              <w:t>projekcie</w:t>
            </w:r>
            <w:r>
              <w:rPr>
                <w:rFonts w:ascii="Arial" w:hAnsi="Arial" w:cs="Arial"/>
                <w:sz w:val="22"/>
                <w:szCs w:val="22"/>
              </w:rPr>
              <w:t xml:space="preserve"> i wynikającym z charakterystyki wybranego rynku posiadają uprawnienia w tym zakresie, potwierdzone wpisem do odpowiedniego rejestru. </w:t>
            </w:r>
          </w:p>
          <w:p w:rsidR="001B11BA" w:rsidRDefault="001B11BA" w:rsidP="00C94DAB">
            <w:pPr>
              <w:spacing w:line="240" w:lineRule="auto"/>
              <w:jc w:val="both"/>
              <w:rPr>
                <w:rFonts w:ascii="Arial" w:hAnsi="Arial" w:cs="Arial"/>
                <w:caps/>
                <w:spacing w:val="1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proce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sie przygotowania dokumentacji i analiz niezbędnych do pozyskania zewnętrznego finansowania na rynkach krajowych (GPW, </w:t>
            </w:r>
            <w:proofErr w:type="spellStart"/>
            <w:r w:rsidRPr="006628DA">
              <w:rPr>
                <w:rFonts w:ascii="Arial" w:hAnsi="Arial" w:cs="Arial"/>
                <w:sz w:val="22"/>
                <w:szCs w:val="22"/>
              </w:rPr>
              <w:t>NewConnect</w:t>
            </w:r>
            <w:proofErr w:type="spellEnd"/>
            <w:r w:rsidRPr="006628D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28DA">
              <w:rPr>
                <w:rFonts w:ascii="Arial" w:hAnsi="Arial" w:cs="Arial"/>
                <w:sz w:val="22"/>
                <w:szCs w:val="22"/>
              </w:rPr>
              <w:t>Catalyst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lub zagranicznych, obowiązkowe jest skorzystanie z usług podmiotów posiadających uprawnienia w przedmiotowym zakresie, tj.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8DA">
              <w:rPr>
                <w:rFonts w:ascii="Arial" w:hAnsi="Arial" w:cs="Arial"/>
                <w:sz w:val="22"/>
                <w:szCs w:val="22"/>
              </w:rPr>
              <w:t>- autoryzowan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doradcy, przy czym wskazany przez wnioskodawcę podmiot pełniący funkcję Autoryzowanego Doradcy figuruje w rejestrze Autoryzowanych Doradców publikowanym przez Giełdę Papierów Wartościowych S.A,</w:t>
            </w:r>
          </w:p>
          <w:p w:rsidR="001B11BA" w:rsidRPr="00111D78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lub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D78">
              <w:rPr>
                <w:rFonts w:ascii="Arial" w:hAnsi="Arial" w:cs="Arial"/>
                <w:sz w:val="22"/>
                <w:szCs w:val="22"/>
              </w:rPr>
              <w:t>- biura maklerskie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Pr="00111D78">
              <w:rPr>
                <w:rFonts w:ascii="Arial" w:hAnsi="Arial" w:cs="Arial"/>
                <w:sz w:val="22"/>
                <w:szCs w:val="22"/>
              </w:rPr>
              <w:t>,  przy czym wskazany</w:t>
            </w:r>
            <w:r w:rsidRPr="001C5993">
              <w:rPr>
                <w:rFonts w:ascii="Arial" w:hAnsi="Arial" w:cs="Arial"/>
                <w:sz w:val="22"/>
                <w:szCs w:val="22"/>
              </w:rPr>
              <w:t xml:space="preserve"> przez wnioskodawcę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podmiot pełniący funkcję biura maklerskiego figuruje na liście Domów Maklerskich, publikowanej przez Komisję Nadzoru Finansowego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</w:t>
            </w:r>
          </w:p>
          <w:p w:rsidR="001B11BA" w:rsidRDefault="001B11BA" w:rsidP="006628DA">
            <w:pPr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5993">
              <w:rPr>
                <w:rFonts w:ascii="Arial" w:hAnsi="Arial" w:cs="Arial"/>
                <w:sz w:val="22"/>
                <w:szCs w:val="22"/>
              </w:rPr>
              <w:t xml:space="preserve">właściwego dla  danego rynku zagranicznego podmiotu świadczącego usługi w zakresie przygotowania dokumentacji i analiz niezbędnych do pozyskania zewnętrznego finansowania, posiadającego akredytację do </w:t>
            </w:r>
            <w:r w:rsidRPr="001C5993">
              <w:rPr>
                <w:rFonts w:ascii="Arial" w:hAnsi="Arial" w:cs="Arial"/>
                <w:sz w:val="22"/>
                <w:szCs w:val="22"/>
              </w:rPr>
              <w:lastRenderedPageBreak/>
              <w:t>świadczenia usług w przedmiotowym zakresie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, a w przypadku braku takiego wymogu, </w:t>
            </w:r>
            <w:r w:rsidRPr="00C536CA">
              <w:rPr>
                <w:rFonts w:ascii="Arial" w:hAnsi="Arial" w:cs="Arial"/>
                <w:sz w:val="22"/>
                <w:szCs w:val="22"/>
              </w:rPr>
              <w:t>doświadczenie</w:t>
            </w:r>
            <w:r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Pr="001C5993">
              <w:rPr>
                <w:rFonts w:ascii="Arial" w:hAnsi="Arial" w:cs="Arial"/>
                <w:sz w:val="22"/>
                <w:szCs w:val="22"/>
              </w:rPr>
              <w:t xml:space="preserve">w zakresie wprowadzania spółek na określony zagraniczny rynek regulowany.  </w:t>
            </w:r>
          </w:p>
          <w:p w:rsidR="001B11BA" w:rsidRDefault="001B11BA" w:rsidP="0091388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Dodatkowo, wnioskodawca może korzystać z usług innych podmiotów, których usługi są niezbędne w procesie pozyskania zewnętrznego finansowania (np. biegły rewident, kancelaria prawna).</w:t>
            </w:r>
          </w:p>
          <w:p w:rsidR="001B11BA" w:rsidRPr="00D31E56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D42FF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nie świadczy usług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właściwych dla danego rynku;</w:t>
            </w:r>
          </w:p>
          <w:p w:rsidR="001B11BA" w:rsidRPr="00913881" w:rsidRDefault="001B11BA" w:rsidP="0023025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świadczy usługi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właściwych dla danego rynku.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913881" w:rsidRDefault="001B11BA" w:rsidP="006740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3881">
              <w:rPr>
                <w:rFonts w:ascii="Arial" w:hAnsi="Arial" w:cs="Arial"/>
                <w:sz w:val="22"/>
                <w:szCs w:val="22"/>
              </w:rPr>
              <w:t>Podmiot świadczący usługę doradczą ratingu dla Wnioskodawcy 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 (jeśli dotyczy</w:t>
            </w:r>
            <w:r>
              <w:rPr>
                <w:rFonts w:ascii="Arial" w:hAnsi="Arial" w:cs="Arial"/>
                <w:sz w:val="22"/>
                <w:szCs w:val="22"/>
              </w:rPr>
              <w:t xml:space="preserve">, w </w:t>
            </w:r>
            <w:r w:rsidRPr="003F70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zakresie wprowadzenia obligacji</w:t>
            </w:r>
            <w:r w:rsidRPr="003F70C3">
              <w:rPr>
                <w:rFonts w:ascii="Arial" w:hAnsi="Arial" w:cs="Arial"/>
                <w:sz w:val="22"/>
                <w:szCs w:val="22"/>
              </w:rPr>
              <w:t xml:space="preserve"> na rynek </w:t>
            </w:r>
            <w:proofErr w:type="spellStart"/>
            <w:r w:rsidRPr="003F70C3">
              <w:rPr>
                <w:rFonts w:ascii="Arial" w:hAnsi="Arial" w:cs="Arial"/>
                <w:sz w:val="22"/>
                <w:szCs w:val="22"/>
              </w:rPr>
              <w:t>Catalyst</w:t>
            </w:r>
            <w:proofErr w:type="spellEnd"/>
            <w:r w:rsidRPr="00913881">
              <w:rPr>
                <w:rFonts w:ascii="Arial" w:hAnsi="Arial" w:cs="Arial"/>
                <w:sz w:val="22"/>
                <w:szCs w:val="22"/>
              </w:rPr>
              <w:t xml:space="preserve">).                                                                             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oceny spełnienia kryterium b</w:t>
            </w:r>
            <w:r w:rsidRPr="00913881">
              <w:rPr>
                <w:rFonts w:ascii="Arial" w:hAnsi="Arial" w:cs="Arial"/>
                <w:sz w:val="22"/>
                <w:szCs w:val="22"/>
              </w:rPr>
              <w:t xml:space="preserve">adane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Pr="00913881">
              <w:rPr>
                <w:rFonts w:ascii="Arial" w:hAnsi="Arial" w:cs="Arial"/>
                <w:sz w:val="22"/>
                <w:szCs w:val="22"/>
              </w:rPr>
              <w:t>wskazany podmiot świadczący usługę doradczą figuruje na Liście zarejestrowanych i certyfikowanych agencji ratingowych publikowanej przez Europejski Urząd Nadzoru Giełd i Papierów Wartościowych (ESMA).</w:t>
            </w:r>
          </w:p>
          <w:p w:rsidR="001B11BA" w:rsidRPr="00D31E56" w:rsidRDefault="001B11BA" w:rsidP="00286E2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13881">
              <w:rPr>
                <w:rFonts w:ascii="Arial" w:hAnsi="Arial" w:cs="Arial"/>
                <w:sz w:val="22"/>
                <w:szCs w:val="22"/>
              </w:rPr>
              <w:t xml:space="preserve">Podmiot świadczący usługę doradczą ratingu dla Wnioskodawcy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913881">
              <w:rPr>
                <w:rFonts w:ascii="Arial" w:hAnsi="Arial" w:cs="Arial"/>
                <w:sz w:val="22"/>
                <w:szCs w:val="22"/>
              </w:rPr>
              <w:t>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881">
              <w:rPr>
                <w:rFonts w:ascii="Arial" w:hAnsi="Arial" w:cs="Arial"/>
                <w:sz w:val="22"/>
                <w:szCs w:val="22"/>
              </w:rPr>
              <w:t>publikowanej przez Europejski Urząd Nadzoru Giełd i Papierów Wartościowych (ESMA)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B11BA" w:rsidRPr="00913881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13881">
              <w:rPr>
                <w:rFonts w:ascii="Arial" w:hAnsi="Arial" w:cs="Arial"/>
                <w:sz w:val="22"/>
                <w:szCs w:val="22"/>
              </w:rPr>
              <w:t>Podmiot świadczący usługę doradczą ratingu dla Wnioskodawcy 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881">
              <w:rPr>
                <w:rFonts w:ascii="Arial" w:hAnsi="Arial" w:cs="Arial"/>
                <w:sz w:val="22"/>
                <w:szCs w:val="22"/>
              </w:rPr>
              <w:t>publikowanej przez Europejski Urząd Nadzoru Giełd i Papierów Wartościowych (ESMA)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F82CB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</w:p>
          <w:p w:rsidR="001B11BA" w:rsidRPr="00220AF4" w:rsidRDefault="001B11BA" w:rsidP="00F82CB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4649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kryterium ocenie podlega to, czy posiadane przez Wnioskodawcę zasoby finansowe umożliwią re</w:t>
            </w:r>
            <w:r>
              <w:rPr>
                <w:rFonts w:ascii="Arial" w:hAnsi="Arial" w:cs="Arial"/>
                <w:sz w:val="22"/>
                <w:szCs w:val="22"/>
              </w:rPr>
              <w:t>alizację projektu. Wnioskodawca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musi wykazać, iż posiada lub zapewnia środki na</w:t>
            </w:r>
            <w:r>
              <w:rPr>
                <w:rFonts w:ascii="Arial" w:hAnsi="Arial" w:cs="Arial"/>
                <w:sz w:val="22"/>
                <w:szCs w:val="22"/>
              </w:rPr>
              <w:t xml:space="preserve"> sfinansowanie całości projektu,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 uwzględnieniem takich źródeł finansowania jak środki własne, kredyt, pożyczka itp. Oznacza to, iż Wnioskodawca musi dysponować środkami finansowym wystarczającymi na realizację projektu. Wnioskodawca musi zapewnić finansowanie zarówno kosztów kwalifikowanych, jak i pozostałych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kosztów projektu, zakładając, że wsparcie będzie wypłacane w formie refundacji </w:t>
            </w:r>
            <w:r w:rsidRPr="000D06BF">
              <w:rPr>
                <w:rFonts w:ascii="Arial" w:hAnsi="Arial" w:cs="Arial"/>
                <w:sz w:val="22"/>
                <w:szCs w:val="22"/>
              </w:rPr>
              <w:t>poniesionych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wydatków. </w:t>
            </w:r>
          </w:p>
          <w:p w:rsidR="001B11BA" w:rsidRDefault="001B11BA" w:rsidP="00D42FFE">
            <w:pPr>
              <w:rPr>
                <w:rFonts w:ascii="Arial" w:hAnsi="Arial" w:cs="Arial"/>
                <w:sz w:val="22"/>
                <w:szCs w:val="22"/>
              </w:rPr>
            </w:pPr>
            <w:r w:rsidRPr="00220AF4">
              <w:rPr>
                <w:rFonts w:ascii="Arial" w:hAnsi="Arial" w:cs="Arial"/>
                <w:sz w:val="22"/>
                <w:szCs w:val="22"/>
              </w:rPr>
              <w:t xml:space="preserve">Weryfikacja zostanie dokonana na podstawie informacji zawartych w opisie wniosku o dofinansowanie.  </w:t>
            </w:r>
          </w:p>
          <w:p w:rsidR="001B11BA" w:rsidRPr="00D31E56" w:rsidRDefault="001B11BA" w:rsidP="00B00CC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B00C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D2793">
              <w:rPr>
                <w:rFonts w:ascii="Arial" w:hAnsi="Arial" w:cs="Arial"/>
                <w:sz w:val="22"/>
                <w:szCs w:val="22"/>
              </w:rPr>
              <w:t>posiada zdolnoś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do sfinansowania projektu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B11BA" w:rsidRPr="00220AF4" w:rsidRDefault="001B11BA" w:rsidP="00371DC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Pr="004D2793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B11BA" w:rsidRPr="00D31E56" w:rsidRDefault="001B11BA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1B11BA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A" w:rsidRDefault="001B11BA" w:rsidP="003246E8">
      <w:pPr>
        <w:spacing w:before="0" w:after="0" w:line="240" w:lineRule="auto"/>
      </w:pPr>
      <w:r>
        <w:separator/>
      </w:r>
    </w:p>
  </w:endnote>
  <w:endnote w:type="continuationSeparator" w:id="0">
    <w:p w:rsidR="001B11BA" w:rsidRDefault="001B11BA" w:rsidP="003246E8">
      <w:pPr>
        <w:spacing w:before="0" w:after="0" w:line="240" w:lineRule="auto"/>
      </w:pPr>
      <w:r>
        <w:continuationSeparator/>
      </w:r>
    </w:p>
  </w:endnote>
  <w:endnote w:type="continuationNotice" w:id="1">
    <w:p w:rsidR="001B11BA" w:rsidRDefault="001B11B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A" w:rsidRDefault="001B11BA" w:rsidP="003246E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B1553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B1553">
      <w:rPr>
        <w:b/>
        <w:bCs/>
        <w:noProof/>
      </w:rPr>
      <w:t>14</w:t>
    </w:r>
    <w:r>
      <w:rPr>
        <w:b/>
        <w:bCs/>
      </w:rPr>
      <w:fldChar w:fldCharType="end"/>
    </w:r>
  </w:p>
  <w:p w:rsidR="001B11BA" w:rsidRDefault="001B1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A" w:rsidRDefault="001B11BA" w:rsidP="003246E8">
      <w:pPr>
        <w:spacing w:before="0" w:after="0" w:line="240" w:lineRule="auto"/>
      </w:pPr>
      <w:r>
        <w:separator/>
      </w:r>
    </w:p>
  </w:footnote>
  <w:footnote w:type="continuationSeparator" w:id="0">
    <w:p w:rsidR="001B11BA" w:rsidRDefault="001B11BA" w:rsidP="003246E8">
      <w:pPr>
        <w:spacing w:before="0" w:after="0" w:line="240" w:lineRule="auto"/>
      </w:pPr>
      <w:r>
        <w:continuationSeparator/>
      </w:r>
    </w:p>
  </w:footnote>
  <w:footnote w:type="continuationNotice" w:id="1">
    <w:p w:rsidR="001B11BA" w:rsidRDefault="001B11B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A" w:rsidRDefault="001B11BA" w:rsidP="00CA7C94">
    <w:pPr>
      <w:pStyle w:val="Nagwek"/>
      <w:jc w:val="center"/>
      <w:rPr>
        <w:rFonts w:ascii="Arial" w:hAnsi="Arial" w:cs="Arial"/>
        <w:sz w:val="22"/>
        <w:szCs w:val="22"/>
      </w:rPr>
    </w:pPr>
    <w:r w:rsidRPr="00EE15A2">
      <w:rPr>
        <w:rFonts w:ascii="Arial" w:hAnsi="Arial" w:cs="Arial"/>
        <w:sz w:val="22"/>
        <w:szCs w:val="22"/>
      </w:rPr>
      <w:t xml:space="preserve">Wersja z dnia </w:t>
    </w:r>
    <w:r w:rsidR="00C255D3">
      <w:rPr>
        <w:rFonts w:ascii="Arial" w:hAnsi="Arial" w:cs="Arial"/>
        <w:sz w:val="22"/>
        <w:szCs w:val="22"/>
      </w:rPr>
      <w:t>12 listopada</w:t>
    </w:r>
    <w:r w:rsidRPr="00EE15A2">
      <w:rPr>
        <w:rFonts w:ascii="Arial" w:hAnsi="Arial" w:cs="Arial"/>
        <w:sz w:val="22"/>
        <w:szCs w:val="22"/>
      </w:rPr>
      <w:t xml:space="preserve"> 2015 r.</w:t>
    </w:r>
    <w:r>
      <w:rPr>
        <w:rFonts w:ascii="Arial" w:hAnsi="Arial" w:cs="Arial"/>
        <w:sz w:val="22"/>
        <w:szCs w:val="22"/>
      </w:rPr>
      <w:t xml:space="preserve"> </w:t>
    </w:r>
  </w:p>
  <w:p w:rsidR="001B11BA" w:rsidRPr="00EE15A2" w:rsidRDefault="001B11BA" w:rsidP="00CA7C94">
    <w:pPr>
      <w:pStyle w:val="Nagwek"/>
      <w:jc w:val="center"/>
      <w:rPr>
        <w:rFonts w:ascii="Arial" w:hAnsi="Arial" w:cs="Arial"/>
        <w:sz w:val="22"/>
        <w:szCs w:val="22"/>
      </w:rPr>
    </w:pPr>
  </w:p>
  <w:p w:rsidR="001B11BA" w:rsidRPr="00EE15A2" w:rsidRDefault="001B11BA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42942"/>
    <w:multiLevelType w:val="hybridMultilevel"/>
    <w:tmpl w:val="F34C4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391ED1"/>
    <w:multiLevelType w:val="hybridMultilevel"/>
    <w:tmpl w:val="ECC250CE"/>
    <w:lvl w:ilvl="0" w:tplc="A9E6629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A720CC"/>
    <w:multiLevelType w:val="hybridMultilevel"/>
    <w:tmpl w:val="D9EE035E"/>
    <w:lvl w:ilvl="0" w:tplc="041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5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D070AC"/>
    <w:multiLevelType w:val="hybridMultilevel"/>
    <w:tmpl w:val="AB9C1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A0121E"/>
    <w:multiLevelType w:val="hybridMultilevel"/>
    <w:tmpl w:val="8F12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A3327B9"/>
    <w:multiLevelType w:val="hybridMultilevel"/>
    <w:tmpl w:val="E918F2D0"/>
    <w:lvl w:ilvl="0" w:tplc="5928C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25484F"/>
    <w:multiLevelType w:val="hybridMultilevel"/>
    <w:tmpl w:val="CDEEC78A"/>
    <w:lvl w:ilvl="0" w:tplc="DAD23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4705F6"/>
    <w:multiLevelType w:val="hybridMultilevel"/>
    <w:tmpl w:val="AE1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7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1B0B90"/>
    <w:multiLevelType w:val="hybridMultilevel"/>
    <w:tmpl w:val="5AD4136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040EE0"/>
    <w:multiLevelType w:val="hybridMultilevel"/>
    <w:tmpl w:val="CDEEC78A"/>
    <w:lvl w:ilvl="0" w:tplc="DAD23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5C6973"/>
    <w:multiLevelType w:val="hybridMultilevel"/>
    <w:tmpl w:val="6B4E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E14F9B"/>
    <w:multiLevelType w:val="hybridMultilevel"/>
    <w:tmpl w:val="67A8F2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AE0952"/>
    <w:multiLevelType w:val="hybridMultilevel"/>
    <w:tmpl w:val="36A499D2"/>
    <w:lvl w:ilvl="0" w:tplc="4EA0BC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582B3F31"/>
    <w:multiLevelType w:val="hybridMultilevel"/>
    <w:tmpl w:val="FC6C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B512F6"/>
    <w:multiLevelType w:val="hybridMultilevel"/>
    <w:tmpl w:val="743ED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7">
    <w:nsid w:val="624E11F1"/>
    <w:multiLevelType w:val="hybridMultilevel"/>
    <w:tmpl w:val="1840B9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1EA61A3"/>
    <w:multiLevelType w:val="hybridMultilevel"/>
    <w:tmpl w:val="FA7E7F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6015A7C"/>
    <w:multiLevelType w:val="hybridMultilevel"/>
    <w:tmpl w:val="2EA4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7A0015F2"/>
    <w:multiLevelType w:val="hybridMultilevel"/>
    <w:tmpl w:val="88A00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A5C7B95"/>
    <w:multiLevelType w:val="hybridMultilevel"/>
    <w:tmpl w:val="5766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D132093"/>
    <w:multiLevelType w:val="hybridMultilevel"/>
    <w:tmpl w:val="D77E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2"/>
  </w:num>
  <w:num w:numId="3">
    <w:abstractNumId w:val="21"/>
  </w:num>
  <w:num w:numId="4">
    <w:abstractNumId w:val="38"/>
  </w:num>
  <w:num w:numId="5">
    <w:abstractNumId w:val="68"/>
  </w:num>
  <w:num w:numId="6">
    <w:abstractNumId w:val="14"/>
  </w:num>
  <w:num w:numId="7">
    <w:abstractNumId w:val="27"/>
  </w:num>
  <w:num w:numId="8">
    <w:abstractNumId w:val="74"/>
  </w:num>
  <w:num w:numId="9">
    <w:abstractNumId w:val="6"/>
  </w:num>
  <w:num w:numId="10">
    <w:abstractNumId w:val="23"/>
  </w:num>
  <w:num w:numId="11">
    <w:abstractNumId w:val="69"/>
  </w:num>
  <w:num w:numId="12">
    <w:abstractNumId w:val="3"/>
  </w:num>
  <w:num w:numId="13">
    <w:abstractNumId w:val="40"/>
  </w:num>
  <w:num w:numId="14">
    <w:abstractNumId w:val="37"/>
  </w:num>
  <w:num w:numId="15">
    <w:abstractNumId w:val="66"/>
  </w:num>
  <w:num w:numId="16">
    <w:abstractNumId w:val="18"/>
  </w:num>
  <w:num w:numId="17">
    <w:abstractNumId w:val="15"/>
  </w:num>
  <w:num w:numId="18">
    <w:abstractNumId w:val="43"/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1"/>
  </w:num>
  <w:num w:numId="25">
    <w:abstractNumId w:val="8"/>
  </w:num>
  <w:num w:numId="26">
    <w:abstractNumId w:val="48"/>
  </w:num>
  <w:num w:numId="27">
    <w:abstractNumId w:val="55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0"/>
  </w:num>
  <w:num w:numId="33">
    <w:abstractNumId w:val="28"/>
  </w:num>
  <w:num w:numId="34">
    <w:abstractNumId w:val="19"/>
  </w:num>
  <w:num w:numId="35">
    <w:abstractNumId w:val="47"/>
  </w:num>
  <w:num w:numId="36">
    <w:abstractNumId w:val="62"/>
  </w:num>
  <w:num w:numId="37">
    <w:abstractNumId w:val="45"/>
  </w:num>
  <w:num w:numId="38">
    <w:abstractNumId w:val="69"/>
  </w:num>
  <w:num w:numId="39">
    <w:abstractNumId w:val="7"/>
  </w:num>
  <w:num w:numId="40">
    <w:abstractNumId w:val="39"/>
  </w:num>
  <w:num w:numId="41">
    <w:abstractNumId w:val="58"/>
  </w:num>
  <w:num w:numId="42">
    <w:abstractNumId w:val="53"/>
  </w:num>
  <w:num w:numId="43">
    <w:abstractNumId w:val="4"/>
  </w:num>
  <w:num w:numId="44">
    <w:abstractNumId w:val="70"/>
  </w:num>
  <w:num w:numId="45">
    <w:abstractNumId w:val="10"/>
  </w:num>
  <w:num w:numId="46">
    <w:abstractNumId w:val="35"/>
  </w:num>
  <w:num w:numId="47">
    <w:abstractNumId w:val="50"/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5"/>
  </w:num>
  <w:num w:numId="51">
    <w:abstractNumId w:val="63"/>
  </w:num>
  <w:num w:numId="52">
    <w:abstractNumId w:val="33"/>
  </w:num>
  <w:num w:numId="53">
    <w:abstractNumId w:val="9"/>
  </w:num>
  <w:num w:numId="54">
    <w:abstractNumId w:val="16"/>
  </w:num>
  <w:num w:numId="55">
    <w:abstractNumId w:val="41"/>
  </w:num>
  <w:num w:numId="56">
    <w:abstractNumId w:val="50"/>
  </w:num>
  <w:num w:numId="57">
    <w:abstractNumId w:val="64"/>
  </w:num>
  <w:num w:numId="58">
    <w:abstractNumId w:val="30"/>
  </w:num>
  <w:num w:numId="59">
    <w:abstractNumId w:val="71"/>
  </w:num>
  <w:num w:numId="60">
    <w:abstractNumId w:val="20"/>
  </w:num>
  <w:num w:numId="61">
    <w:abstractNumId w:val="56"/>
  </w:num>
  <w:num w:numId="62">
    <w:abstractNumId w:val="11"/>
  </w:num>
  <w:num w:numId="63">
    <w:abstractNumId w:val="57"/>
  </w:num>
  <w:num w:numId="64">
    <w:abstractNumId w:val="49"/>
  </w:num>
  <w:num w:numId="65">
    <w:abstractNumId w:val="34"/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</w:num>
  <w:num w:numId="69">
    <w:abstractNumId w:val="5"/>
  </w:num>
  <w:num w:numId="70">
    <w:abstractNumId w:val="24"/>
  </w:num>
  <w:num w:numId="71">
    <w:abstractNumId w:val="31"/>
  </w:num>
  <w:num w:numId="72">
    <w:abstractNumId w:val="46"/>
  </w:num>
  <w:num w:numId="73">
    <w:abstractNumId w:val="32"/>
  </w:num>
  <w:num w:numId="74">
    <w:abstractNumId w:val="77"/>
  </w:num>
  <w:num w:numId="75">
    <w:abstractNumId w:val="52"/>
  </w:num>
  <w:num w:numId="76">
    <w:abstractNumId w:val="54"/>
  </w:num>
  <w:num w:numId="77">
    <w:abstractNumId w:val="60"/>
  </w:num>
  <w:num w:numId="78">
    <w:abstractNumId w:val="73"/>
  </w:num>
  <w:num w:numId="79">
    <w:abstractNumId w:val="72"/>
  </w:num>
  <w:num w:numId="80">
    <w:abstractNumId w:val="42"/>
  </w:num>
  <w:num w:numId="81">
    <w:abstractNumId w:val="36"/>
  </w:num>
  <w:num w:numId="82">
    <w:abstractNumId w:val="51"/>
  </w:num>
  <w:num w:numId="83">
    <w:abstractNumId w:val="13"/>
  </w:num>
  <w:num w:numId="84">
    <w:abstractNumId w:val="59"/>
  </w:num>
  <w:num w:numId="85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0A50"/>
    <w:rsid w:val="00002B62"/>
    <w:rsid w:val="00003111"/>
    <w:rsid w:val="00004F4A"/>
    <w:rsid w:val="00006512"/>
    <w:rsid w:val="00007E1A"/>
    <w:rsid w:val="00011570"/>
    <w:rsid w:val="0001240D"/>
    <w:rsid w:val="000130A5"/>
    <w:rsid w:val="00013DE0"/>
    <w:rsid w:val="000143D0"/>
    <w:rsid w:val="00023BE2"/>
    <w:rsid w:val="000265F7"/>
    <w:rsid w:val="00026BDF"/>
    <w:rsid w:val="00033652"/>
    <w:rsid w:val="00034942"/>
    <w:rsid w:val="00034D1D"/>
    <w:rsid w:val="000354A4"/>
    <w:rsid w:val="00036961"/>
    <w:rsid w:val="000409FE"/>
    <w:rsid w:val="00040C5C"/>
    <w:rsid w:val="000428B5"/>
    <w:rsid w:val="00044AAF"/>
    <w:rsid w:val="00046BB6"/>
    <w:rsid w:val="00047751"/>
    <w:rsid w:val="0005161D"/>
    <w:rsid w:val="0005218E"/>
    <w:rsid w:val="0005414A"/>
    <w:rsid w:val="00054BBA"/>
    <w:rsid w:val="00054F2D"/>
    <w:rsid w:val="00055759"/>
    <w:rsid w:val="00055E2E"/>
    <w:rsid w:val="00057004"/>
    <w:rsid w:val="000575A0"/>
    <w:rsid w:val="00057902"/>
    <w:rsid w:val="00060544"/>
    <w:rsid w:val="00063007"/>
    <w:rsid w:val="00063164"/>
    <w:rsid w:val="00063AAF"/>
    <w:rsid w:val="00065D03"/>
    <w:rsid w:val="00066A20"/>
    <w:rsid w:val="00067387"/>
    <w:rsid w:val="00067BE4"/>
    <w:rsid w:val="00072803"/>
    <w:rsid w:val="00072C50"/>
    <w:rsid w:val="00073059"/>
    <w:rsid w:val="000734D1"/>
    <w:rsid w:val="0007476E"/>
    <w:rsid w:val="00076098"/>
    <w:rsid w:val="00081065"/>
    <w:rsid w:val="0008303B"/>
    <w:rsid w:val="00083BE8"/>
    <w:rsid w:val="00084000"/>
    <w:rsid w:val="0008470E"/>
    <w:rsid w:val="0008487F"/>
    <w:rsid w:val="00086B66"/>
    <w:rsid w:val="0008761B"/>
    <w:rsid w:val="000878F8"/>
    <w:rsid w:val="00087EFE"/>
    <w:rsid w:val="00087F71"/>
    <w:rsid w:val="000911C2"/>
    <w:rsid w:val="000918E9"/>
    <w:rsid w:val="00092A09"/>
    <w:rsid w:val="00093ACA"/>
    <w:rsid w:val="000A008C"/>
    <w:rsid w:val="000A017C"/>
    <w:rsid w:val="000A154B"/>
    <w:rsid w:val="000A3940"/>
    <w:rsid w:val="000A3C2C"/>
    <w:rsid w:val="000A44E1"/>
    <w:rsid w:val="000A54A9"/>
    <w:rsid w:val="000A59DF"/>
    <w:rsid w:val="000A6258"/>
    <w:rsid w:val="000A64D4"/>
    <w:rsid w:val="000A7243"/>
    <w:rsid w:val="000B21EE"/>
    <w:rsid w:val="000B2FB9"/>
    <w:rsid w:val="000B3DE1"/>
    <w:rsid w:val="000B4621"/>
    <w:rsid w:val="000B4F22"/>
    <w:rsid w:val="000B6F1A"/>
    <w:rsid w:val="000B6F24"/>
    <w:rsid w:val="000B7CBF"/>
    <w:rsid w:val="000C1F1C"/>
    <w:rsid w:val="000C2E95"/>
    <w:rsid w:val="000C3156"/>
    <w:rsid w:val="000C335D"/>
    <w:rsid w:val="000C357C"/>
    <w:rsid w:val="000C3B0C"/>
    <w:rsid w:val="000C6DE4"/>
    <w:rsid w:val="000D06BF"/>
    <w:rsid w:val="000D0CF7"/>
    <w:rsid w:val="000D10CF"/>
    <w:rsid w:val="000D154C"/>
    <w:rsid w:val="000D1D5F"/>
    <w:rsid w:val="000D4DF1"/>
    <w:rsid w:val="000D666D"/>
    <w:rsid w:val="000D73C9"/>
    <w:rsid w:val="000D7426"/>
    <w:rsid w:val="000D7A9F"/>
    <w:rsid w:val="000E0A68"/>
    <w:rsid w:val="000E2EC9"/>
    <w:rsid w:val="000E3716"/>
    <w:rsid w:val="000E3DCE"/>
    <w:rsid w:val="000E42EA"/>
    <w:rsid w:val="000E6C6C"/>
    <w:rsid w:val="000E6DC6"/>
    <w:rsid w:val="000F27E0"/>
    <w:rsid w:val="000F330B"/>
    <w:rsid w:val="000F344A"/>
    <w:rsid w:val="000F3689"/>
    <w:rsid w:val="000F43ED"/>
    <w:rsid w:val="000F4491"/>
    <w:rsid w:val="000F5B57"/>
    <w:rsid w:val="00101BD0"/>
    <w:rsid w:val="0010269A"/>
    <w:rsid w:val="0010367B"/>
    <w:rsid w:val="00103B09"/>
    <w:rsid w:val="001043EE"/>
    <w:rsid w:val="00105544"/>
    <w:rsid w:val="00110358"/>
    <w:rsid w:val="001116F2"/>
    <w:rsid w:val="00111D78"/>
    <w:rsid w:val="00111FA2"/>
    <w:rsid w:val="00113005"/>
    <w:rsid w:val="0011552B"/>
    <w:rsid w:val="001165DE"/>
    <w:rsid w:val="00117ED0"/>
    <w:rsid w:val="00121A43"/>
    <w:rsid w:val="00121DE0"/>
    <w:rsid w:val="00122ED9"/>
    <w:rsid w:val="001238E1"/>
    <w:rsid w:val="00125FD4"/>
    <w:rsid w:val="001270DC"/>
    <w:rsid w:val="001317A6"/>
    <w:rsid w:val="001335D5"/>
    <w:rsid w:val="0013366F"/>
    <w:rsid w:val="00134DCB"/>
    <w:rsid w:val="00134F3C"/>
    <w:rsid w:val="00135052"/>
    <w:rsid w:val="00135D00"/>
    <w:rsid w:val="001360AB"/>
    <w:rsid w:val="001362D1"/>
    <w:rsid w:val="00143C0A"/>
    <w:rsid w:val="001440B0"/>
    <w:rsid w:val="00146398"/>
    <w:rsid w:val="00147531"/>
    <w:rsid w:val="00147839"/>
    <w:rsid w:val="00147B30"/>
    <w:rsid w:val="00147EC2"/>
    <w:rsid w:val="001512ED"/>
    <w:rsid w:val="00153B61"/>
    <w:rsid w:val="00155600"/>
    <w:rsid w:val="00157F53"/>
    <w:rsid w:val="001617FB"/>
    <w:rsid w:val="00162B86"/>
    <w:rsid w:val="00162FE3"/>
    <w:rsid w:val="001641F3"/>
    <w:rsid w:val="00164E87"/>
    <w:rsid w:val="001655DC"/>
    <w:rsid w:val="00165608"/>
    <w:rsid w:val="00171777"/>
    <w:rsid w:val="00172AD3"/>
    <w:rsid w:val="00175967"/>
    <w:rsid w:val="00175BBE"/>
    <w:rsid w:val="00175E12"/>
    <w:rsid w:val="00180031"/>
    <w:rsid w:val="00180986"/>
    <w:rsid w:val="00181F5D"/>
    <w:rsid w:val="00182690"/>
    <w:rsid w:val="00184DD6"/>
    <w:rsid w:val="00186D28"/>
    <w:rsid w:val="00186E79"/>
    <w:rsid w:val="00190FC7"/>
    <w:rsid w:val="00191B44"/>
    <w:rsid w:val="001922BA"/>
    <w:rsid w:val="00192FD3"/>
    <w:rsid w:val="00193039"/>
    <w:rsid w:val="001946BA"/>
    <w:rsid w:val="00196C54"/>
    <w:rsid w:val="0019766C"/>
    <w:rsid w:val="001A183B"/>
    <w:rsid w:val="001A3F08"/>
    <w:rsid w:val="001A41A1"/>
    <w:rsid w:val="001A41C0"/>
    <w:rsid w:val="001A5721"/>
    <w:rsid w:val="001A58F6"/>
    <w:rsid w:val="001A6BBE"/>
    <w:rsid w:val="001A79EF"/>
    <w:rsid w:val="001B0336"/>
    <w:rsid w:val="001B11BA"/>
    <w:rsid w:val="001B12F2"/>
    <w:rsid w:val="001B1F4D"/>
    <w:rsid w:val="001B3EEA"/>
    <w:rsid w:val="001B4A74"/>
    <w:rsid w:val="001B5E64"/>
    <w:rsid w:val="001B6417"/>
    <w:rsid w:val="001B7242"/>
    <w:rsid w:val="001B743A"/>
    <w:rsid w:val="001C04D7"/>
    <w:rsid w:val="001C1BDE"/>
    <w:rsid w:val="001C1F6B"/>
    <w:rsid w:val="001C22E8"/>
    <w:rsid w:val="001C329F"/>
    <w:rsid w:val="001C51B1"/>
    <w:rsid w:val="001C5993"/>
    <w:rsid w:val="001D132C"/>
    <w:rsid w:val="001D1A49"/>
    <w:rsid w:val="001D1B2C"/>
    <w:rsid w:val="001D542C"/>
    <w:rsid w:val="001D672E"/>
    <w:rsid w:val="001D7815"/>
    <w:rsid w:val="001E08AB"/>
    <w:rsid w:val="001E1C5B"/>
    <w:rsid w:val="001E2B14"/>
    <w:rsid w:val="001E2F5B"/>
    <w:rsid w:val="001E53E7"/>
    <w:rsid w:val="001E5C7E"/>
    <w:rsid w:val="001E63D2"/>
    <w:rsid w:val="001E775F"/>
    <w:rsid w:val="001F0FF3"/>
    <w:rsid w:val="001F2213"/>
    <w:rsid w:val="001F3746"/>
    <w:rsid w:val="001F39B8"/>
    <w:rsid w:val="001F6465"/>
    <w:rsid w:val="001F7C4D"/>
    <w:rsid w:val="002002DF"/>
    <w:rsid w:val="00200515"/>
    <w:rsid w:val="002016E8"/>
    <w:rsid w:val="002018CE"/>
    <w:rsid w:val="00203262"/>
    <w:rsid w:val="00204A35"/>
    <w:rsid w:val="00206152"/>
    <w:rsid w:val="00206845"/>
    <w:rsid w:val="00206CFE"/>
    <w:rsid w:val="00207010"/>
    <w:rsid w:val="00207F96"/>
    <w:rsid w:val="00210C43"/>
    <w:rsid w:val="00211B4E"/>
    <w:rsid w:val="00212477"/>
    <w:rsid w:val="00212EE4"/>
    <w:rsid w:val="00213AC6"/>
    <w:rsid w:val="00214C29"/>
    <w:rsid w:val="002158D3"/>
    <w:rsid w:val="00215931"/>
    <w:rsid w:val="0021596B"/>
    <w:rsid w:val="00216235"/>
    <w:rsid w:val="00216C24"/>
    <w:rsid w:val="00216C31"/>
    <w:rsid w:val="00216E2A"/>
    <w:rsid w:val="0021714B"/>
    <w:rsid w:val="00217D19"/>
    <w:rsid w:val="002203B5"/>
    <w:rsid w:val="00220612"/>
    <w:rsid w:val="00220AF4"/>
    <w:rsid w:val="00222884"/>
    <w:rsid w:val="002232FD"/>
    <w:rsid w:val="002245C4"/>
    <w:rsid w:val="00224CEF"/>
    <w:rsid w:val="00225FE9"/>
    <w:rsid w:val="0023025A"/>
    <w:rsid w:val="00230559"/>
    <w:rsid w:val="002305B1"/>
    <w:rsid w:val="00230B03"/>
    <w:rsid w:val="0023183D"/>
    <w:rsid w:val="0023232F"/>
    <w:rsid w:val="00233679"/>
    <w:rsid w:val="00233E1A"/>
    <w:rsid w:val="00233EA7"/>
    <w:rsid w:val="0023431B"/>
    <w:rsid w:val="002355AE"/>
    <w:rsid w:val="002373CA"/>
    <w:rsid w:val="0024065C"/>
    <w:rsid w:val="002410CE"/>
    <w:rsid w:val="00241A91"/>
    <w:rsid w:val="00241DB3"/>
    <w:rsid w:val="002440D9"/>
    <w:rsid w:val="00245219"/>
    <w:rsid w:val="00245269"/>
    <w:rsid w:val="00247239"/>
    <w:rsid w:val="002503D3"/>
    <w:rsid w:val="00252760"/>
    <w:rsid w:val="002533C8"/>
    <w:rsid w:val="002548C9"/>
    <w:rsid w:val="00254D02"/>
    <w:rsid w:val="00257FF6"/>
    <w:rsid w:val="00261EE1"/>
    <w:rsid w:val="00262007"/>
    <w:rsid w:val="00262A8A"/>
    <w:rsid w:val="00264756"/>
    <w:rsid w:val="00266AD8"/>
    <w:rsid w:val="00267CD2"/>
    <w:rsid w:val="00270739"/>
    <w:rsid w:val="00274A7E"/>
    <w:rsid w:val="002753E8"/>
    <w:rsid w:val="00277E1F"/>
    <w:rsid w:val="002809B0"/>
    <w:rsid w:val="00283C61"/>
    <w:rsid w:val="00286E29"/>
    <w:rsid w:val="00287471"/>
    <w:rsid w:val="00290329"/>
    <w:rsid w:val="002903AD"/>
    <w:rsid w:val="00291B46"/>
    <w:rsid w:val="00292D64"/>
    <w:rsid w:val="00292E26"/>
    <w:rsid w:val="002934F4"/>
    <w:rsid w:val="00293954"/>
    <w:rsid w:val="00296D8B"/>
    <w:rsid w:val="0029747F"/>
    <w:rsid w:val="002A027B"/>
    <w:rsid w:val="002A0B6E"/>
    <w:rsid w:val="002A14C1"/>
    <w:rsid w:val="002A1948"/>
    <w:rsid w:val="002A2010"/>
    <w:rsid w:val="002A20FA"/>
    <w:rsid w:val="002A3EA5"/>
    <w:rsid w:val="002A5278"/>
    <w:rsid w:val="002A5823"/>
    <w:rsid w:val="002A6215"/>
    <w:rsid w:val="002B0967"/>
    <w:rsid w:val="002B0D0A"/>
    <w:rsid w:val="002B2612"/>
    <w:rsid w:val="002B2A47"/>
    <w:rsid w:val="002B481E"/>
    <w:rsid w:val="002B59AA"/>
    <w:rsid w:val="002B6908"/>
    <w:rsid w:val="002B79CC"/>
    <w:rsid w:val="002B7AE6"/>
    <w:rsid w:val="002C11F7"/>
    <w:rsid w:val="002C1CCA"/>
    <w:rsid w:val="002C31B3"/>
    <w:rsid w:val="002C4EEE"/>
    <w:rsid w:val="002C647C"/>
    <w:rsid w:val="002C68FE"/>
    <w:rsid w:val="002C6E54"/>
    <w:rsid w:val="002C756D"/>
    <w:rsid w:val="002C7F7D"/>
    <w:rsid w:val="002D1EAD"/>
    <w:rsid w:val="002D4963"/>
    <w:rsid w:val="002D658E"/>
    <w:rsid w:val="002E0E34"/>
    <w:rsid w:val="002E10D1"/>
    <w:rsid w:val="002E1E3A"/>
    <w:rsid w:val="002E4D7D"/>
    <w:rsid w:val="002E6329"/>
    <w:rsid w:val="002E6677"/>
    <w:rsid w:val="002E768B"/>
    <w:rsid w:val="002E7D75"/>
    <w:rsid w:val="002F0BE8"/>
    <w:rsid w:val="002F33D1"/>
    <w:rsid w:val="002F395B"/>
    <w:rsid w:val="002F54A8"/>
    <w:rsid w:val="003004D8"/>
    <w:rsid w:val="0030064E"/>
    <w:rsid w:val="00300C0D"/>
    <w:rsid w:val="0030132B"/>
    <w:rsid w:val="00301A1E"/>
    <w:rsid w:val="00301A36"/>
    <w:rsid w:val="00301ED4"/>
    <w:rsid w:val="00306180"/>
    <w:rsid w:val="00306BB8"/>
    <w:rsid w:val="003146B1"/>
    <w:rsid w:val="00314CC8"/>
    <w:rsid w:val="003155BD"/>
    <w:rsid w:val="003165CA"/>
    <w:rsid w:val="00317A14"/>
    <w:rsid w:val="003205A7"/>
    <w:rsid w:val="003246E8"/>
    <w:rsid w:val="00324DF2"/>
    <w:rsid w:val="00324EB7"/>
    <w:rsid w:val="003258D7"/>
    <w:rsid w:val="00326A60"/>
    <w:rsid w:val="00327272"/>
    <w:rsid w:val="00330C02"/>
    <w:rsid w:val="00331772"/>
    <w:rsid w:val="00331965"/>
    <w:rsid w:val="00333521"/>
    <w:rsid w:val="003338BA"/>
    <w:rsid w:val="00335A02"/>
    <w:rsid w:val="00336D32"/>
    <w:rsid w:val="00337684"/>
    <w:rsid w:val="00343713"/>
    <w:rsid w:val="00344BCE"/>
    <w:rsid w:val="003450F9"/>
    <w:rsid w:val="003464BA"/>
    <w:rsid w:val="003472F2"/>
    <w:rsid w:val="003473DD"/>
    <w:rsid w:val="003476DF"/>
    <w:rsid w:val="003501E5"/>
    <w:rsid w:val="003508EE"/>
    <w:rsid w:val="00351047"/>
    <w:rsid w:val="00353504"/>
    <w:rsid w:val="00354485"/>
    <w:rsid w:val="00354837"/>
    <w:rsid w:val="00354854"/>
    <w:rsid w:val="00356634"/>
    <w:rsid w:val="00357441"/>
    <w:rsid w:val="00360086"/>
    <w:rsid w:val="003601F7"/>
    <w:rsid w:val="0036094D"/>
    <w:rsid w:val="00361F93"/>
    <w:rsid w:val="00362426"/>
    <w:rsid w:val="00363880"/>
    <w:rsid w:val="00363B54"/>
    <w:rsid w:val="003657B6"/>
    <w:rsid w:val="00365A0B"/>
    <w:rsid w:val="00365C5D"/>
    <w:rsid w:val="003665E7"/>
    <w:rsid w:val="003712F9"/>
    <w:rsid w:val="00371DCF"/>
    <w:rsid w:val="00375002"/>
    <w:rsid w:val="003758C8"/>
    <w:rsid w:val="003760CB"/>
    <w:rsid w:val="0037624A"/>
    <w:rsid w:val="003770D2"/>
    <w:rsid w:val="00377D16"/>
    <w:rsid w:val="00380ACD"/>
    <w:rsid w:val="0038251F"/>
    <w:rsid w:val="003858D9"/>
    <w:rsid w:val="00386006"/>
    <w:rsid w:val="003861D4"/>
    <w:rsid w:val="0039060B"/>
    <w:rsid w:val="00390787"/>
    <w:rsid w:val="00391D19"/>
    <w:rsid w:val="00393866"/>
    <w:rsid w:val="00393A6A"/>
    <w:rsid w:val="00393B44"/>
    <w:rsid w:val="00394621"/>
    <w:rsid w:val="003947FA"/>
    <w:rsid w:val="003964BC"/>
    <w:rsid w:val="00396E99"/>
    <w:rsid w:val="0039746C"/>
    <w:rsid w:val="003A017F"/>
    <w:rsid w:val="003A2264"/>
    <w:rsid w:val="003A2C84"/>
    <w:rsid w:val="003A31DE"/>
    <w:rsid w:val="003A3B46"/>
    <w:rsid w:val="003A5EFC"/>
    <w:rsid w:val="003A6FD7"/>
    <w:rsid w:val="003B0331"/>
    <w:rsid w:val="003B1288"/>
    <w:rsid w:val="003B15BF"/>
    <w:rsid w:val="003B18C3"/>
    <w:rsid w:val="003B48E6"/>
    <w:rsid w:val="003B534D"/>
    <w:rsid w:val="003B648B"/>
    <w:rsid w:val="003C3453"/>
    <w:rsid w:val="003C3D16"/>
    <w:rsid w:val="003C5033"/>
    <w:rsid w:val="003C65F3"/>
    <w:rsid w:val="003C705F"/>
    <w:rsid w:val="003C7A25"/>
    <w:rsid w:val="003C7B27"/>
    <w:rsid w:val="003D05EC"/>
    <w:rsid w:val="003D2AE6"/>
    <w:rsid w:val="003D321B"/>
    <w:rsid w:val="003D4F8B"/>
    <w:rsid w:val="003D57C1"/>
    <w:rsid w:val="003D5B33"/>
    <w:rsid w:val="003E0149"/>
    <w:rsid w:val="003E0FBE"/>
    <w:rsid w:val="003E133D"/>
    <w:rsid w:val="003E3204"/>
    <w:rsid w:val="003E4B8E"/>
    <w:rsid w:val="003E5B22"/>
    <w:rsid w:val="003E6A89"/>
    <w:rsid w:val="003E70D2"/>
    <w:rsid w:val="003E70DA"/>
    <w:rsid w:val="003F016D"/>
    <w:rsid w:val="003F0DF7"/>
    <w:rsid w:val="003F1849"/>
    <w:rsid w:val="003F1D5B"/>
    <w:rsid w:val="003F2CF2"/>
    <w:rsid w:val="003F440E"/>
    <w:rsid w:val="003F5741"/>
    <w:rsid w:val="003F6739"/>
    <w:rsid w:val="003F70C3"/>
    <w:rsid w:val="00404D02"/>
    <w:rsid w:val="0040514E"/>
    <w:rsid w:val="00405ECF"/>
    <w:rsid w:val="004104E1"/>
    <w:rsid w:val="00410B09"/>
    <w:rsid w:val="00411537"/>
    <w:rsid w:val="00411B9E"/>
    <w:rsid w:val="00411ECD"/>
    <w:rsid w:val="00411EE2"/>
    <w:rsid w:val="00413A91"/>
    <w:rsid w:val="004142DB"/>
    <w:rsid w:val="004166FD"/>
    <w:rsid w:val="00417B3F"/>
    <w:rsid w:val="0042033E"/>
    <w:rsid w:val="004205ED"/>
    <w:rsid w:val="004217D3"/>
    <w:rsid w:val="00421FF8"/>
    <w:rsid w:val="0042223B"/>
    <w:rsid w:val="00422A2E"/>
    <w:rsid w:val="00427F6C"/>
    <w:rsid w:val="004327B2"/>
    <w:rsid w:val="00432C6C"/>
    <w:rsid w:val="00434F70"/>
    <w:rsid w:val="0043526D"/>
    <w:rsid w:val="004369B7"/>
    <w:rsid w:val="00436D43"/>
    <w:rsid w:val="00437C17"/>
    <w:rsid w:val="00443316"/>
    <w:rsid w:val="004446CF"/>
    <w:rsid w:val="00445231"/>
    <w:rsid w:val="00446EC4"/>
    <w:rsid w:val="004512BF"/>
    <w:rsid w:val="00452364"/>
    <w:rsid w:val="00452C80"/>
    <w:rsid w:val="00452E2D"/>
    <w:rsid w:val="00454F40"/>
    <w:rsid w:val="00455A17"/>
    <w:rsid w:val="00456913"/>
    <w:rsid w:val="0046078C"/>
    <w:rsid w:val="004639FD"/>
    <w:rsid w:val="0046499B"/>
    <w:rsid w:val="00464E58"/>
    <w:rsid w:val="00466CB8"/>
    <w:rsid w:val="00466DFD"/>
    <w:rsid w:val="004670D1"/>
    <w:rsid w:val="00471AF5"/>
    <w:rsid w:val="0047470F"/>
    <w:rsid w:val="004756C2"/>
    <w:rsid w:val="0047661A"/>
    <w:rsid w:val="00476809"/>
    <w:rsid w:val="00476961"/>
    <w:rsid w:val="00476F6C"/>
    <w:rsid w:val="00480B16"/>
    <w:rsid w:val="00482DCB"/>
    <w:rsid w:val="0048481F"/>
    <w:rsid w:val="00487404"/>
    <w:rsid w:val="00491F22"/>
    <w:rsid w:val="004921A5"/>
    <w:rsid w:val="0049242A"/>
    <w:rsid w:val="004924D9"/>
    <w:rsid w:val="00493CCF"/>
    <w:rsid w:val="00494AFB"/>
    <w:rsid w:val="00494E2A"/>
    <w:rsid w:val="004957E0"/>
    <w:rsid w:val="004A0480"/>
    <w:rsid w:val="004A0596"/>
    <w:rsid w:val="004A05F9"/>
    <w:rsid w:val="004A08BE"/>
    <w:rsid w:val="004B0714"/>
    <w:rsid w:val="004B16AA"/>
    <w:rsid w:val="004B31D9"/>
    <w:rsid w:val="004B468D"/>
    <w:rsid w:val="004B47C9"/>
    <w:rsid w:val="004B4E42"/>
    <w:rsid w:val="004C0535"/>
    <w:rsid w:val="004C0741"/>
    <w:rsid w:val="004C0AE7"/>
    <w:rsid w:val="004C33F6"/>
    <w:rsid w:val="004C348B"/>
    <w:rsid w:val="004C3A29"/>
    <w:rsid w:val="004C3C5F"/>
    <w:rsid w:val="004C466B"/>
    <w:rsid w:val="004C525B"/>
    <w:rsid w:val="004C6089"/>
    <w:rsid w:val="004C653E"/>
    <w:rsid w:val="004C6A64"/>
    <w:rsid w:val="004C7748"/>
    <w:rsid w:val="004D021B"/>
    <w:rsid w:val="004D0B78"/>
    <w:rsid w:val="004D1BE5"/>
    <w:rsid w:val="004D2642"/>
    <w:rsid w:val="004D2793"/>
    <w:rsid w:val="004D3698"/>
    <w:rsid w:val="004D4247"/>
    <w:rsid w:val="004D54BC"/>
    <w:rsid w:val="004E0F2E"/>
    <w:rsid w:val="004E107A"/>
    <w:rsid w:val="004E321D"/>
    <w:rsid w:val="004E3834"/>
    <w:rsid w:val="004E3A83"/>
    <w:rsid w:val="004E56C1"/>
    <w:rsid w:val="004E6FF6"/>
    <w:rsid w:val="004E738E"/>
    <w:rsid w:val="004F1175"/>
    <w:rsid w:val="004F1B3B"/>
    <w:rsid w:val="004F2C8A"/>
    <w:rsid w:val="004F2D46"/>
    <w:rsid w:val="004F304E"/>
    <w:rsid w:val="004F34B4"/>
    <w:rsid w:val="004F42FD"/>
    <w:rsid w:val="004F6AD3"/>
    <w:rsid w:val="004F6CF6"/>
    <w:rsid w:val="004F71E0"/>
    <w:rsid w:val="005027AE"/>
    <w:rsid w:val="00502936"/>
    <w:rsid w:val="005042B7"/>
    <w:rsid w:val="00504C4A"/>
    <w:rsid w:val="00504FBF"/>
    <w:rsid w:val="005104B7"/>
    <w:rsid w:val="0051150B"/>
    <w:rsid w:val="00511B9E"/>
    <w:rsid w:val="00512C25"/>
    <w:rsid w:val="00514DCF"/>
    <w:rsid w:val="00515662"/>
    <w:rsid w:val="005175B0"/>
    <w:rsid w:val="00520BB1"/>
    <w:rsid w:val="00522AEA"/>
    <w:rsid w:val="00522FF8"/>
    <w:rsid w:val="00523C94"/>
    <w:rsid w:val="00524094"/>
    <w:rsid w:val="00524136"/>
    <w:rsid w:val="005245AC"/>
    <w:rsid w:val="00524964"/>
    <w:rsid w:val="0052594B"/>
    <w:rsid w:val="00525963"/>
    <w:rsid w:val="0052752A"/>
    <w:rsid w:val="005275A5"/>
    <w:rsid w:val="005312C9"/>
    <w:rsid w:val="00532FAD"/>
    <w:rsid w:val="005331D2"/>
    <w:rsid w:val="0053338E"/>
    <w:rsid w:val="00534F7E"/>
    <w:rsid w:val="0053550E"/>
    <w:rsid w:val="00535F54"/>
    <w:rsid w:val="005369DE"/>
    <w:rsid w:val="00537F5D"/>
    <w:rsid w:val="00540CAA"/>
    <w:rsid w:val="00544635"/>
    <w:rsid w:val="00545012"/>
    <w:rsid w:val="00546412"/>
    <w:rsid w:val="00546838"/>
    <w:rsid w:val="00546DA3"/>
    <w:rsid w:val="005471AA"/>
    <w:rsid w:val="00547697"/>
    <w:rsid w:val="00550432"/>
    <w:rsid w:val="00551318"/>
    <w:rsid w:val="00554365"/>
    <w:rsid w:val="0055495B"/>
    <w:rsid w:val="00556046"/>
    <w:rsid w:val="00557299"/>
    <w:rsid w:val="00557322"/>
    <w:rsid w:val="00557A65"/>
    <w:rsid w:val="00557C33"/>
    <w:rsid w:val="00557C53"/>
    <w:rsid w:val="0056000E"/>
    <w:rsid w:val="00560039"/>
    <w:rsid w:val="005602DD"/>
    <w:rsid w:val="00560639"/>
    <w:rsid w:val="00563252"/>
    <w:rsid w:val="005642D2"/>
    <w:rsid w:val="005652DC"/>
    <w:rsid w:val="00565ADA"/>
    <w:rsid w:val="005700CE"/>
    <w:rsid w:val="00570D19"/>
    <w:rsid w:val="0057156E"/>
    <w:rsid w:val="00571769"/>
    <w:rsid w:val="00571A8A"/>
    <w:rsid w:val="005734FB"/>
    <w:rsid w:val="00575200"/>
    <w:rsid w:val="005779CF"/>
    <w:rsid w:val="00580487"/>
    <w:rsid w:val="00581E27"/>
    <w:rsid w:val="00583D57"/>
    <w:rsid w:val="005845AB"/>
    <w:rsid w:val="00584C20"/>
    <w:rsid w:val="00585255"/>
    <w:rsid w:val="005927C0"/>
    <w:rsid w:val="005944C8"/>
    <w:rsid w:val="005955E9"/>
    <w:rsid w:val="005A185A"/>
    <w:rsid w:val="005A201C"/>
    <w:rsid w:val="005A2B56"/>
    <w:rsid w:val="005A2D4F"/>
    <w:rsid w:val="005A4573"/>
    <w:rsid w:val="005A542E"/>
    <w:rsid w:val="005A579E"/>
    <w:rsid w:val="005A7208"/>
    <w:rsid w:val="005B2F1F"/>
    <w:rsid w:val="005B64FA"/>
    <w:rsid w:val="005C4B86"/>
    <w:rsid w:val="005C5F76"/>
    <w:rsid w:val="005C658E"/>
    <w:rsid w:val="005C70CB"/>
    <w:rsid w:val="005C7A48"/>
    <w:rsid w:val="005C7D52"/>
    <w:rsid w:val="005C7FCC"/>
    <w:rsid w:val="005D0AA1"/>
    <w:rsid w:val="005D0D18"/>
    <w:rsid w:val="005D19A5"/>
    <w:rsid w:val="005D216D"/>
    <w:rsid w:val="005D290E"/>
    <w:rsid w:val="005D45DE"/>
    <w:rsid w:val="005D460C"/>
    <w:rsid w:val="005D48C3"/>
    <w:rsid w:val="005D4D7E"/>
    <w:rsid w:val="005D5CB4"/>
    <w:rsid w:val="005D62C7"/>
    <w:rsid w:val="005D6A1D"/>
    <w:rsid w:val="005E1964"/>
    <w:rsid w:val="005E1FDD"/>
    <w:rsid w:val="005E2AE2"/>
    <w:rsid w:val="005E4A11"/>
    <w:rsid w:val="005E5CA1"/>
    <w:rsid w:val="005E79A7"/>
    <w:rsid w:val="005F00D5"/>
    <w:rsid w:val="005F0611"/>
    <w:rsid w:val="005F2867"/>
    <w:rsid w:val="005F4253"/>
    <w:rsid w:val="005F4FBA"/>
    <w:rsid w:val="005F5C3C"/>
    <w:rsid w:val="005F7C5A"/>
    <w:rsid w:val="005F7FA5"/>
    <w:rsid w:val="00600722"/>
    <w:rsid w:val="006014BD"/>
    <w:rsid w:val="0060198E"/>
    <w:rsid w:val="006041C8"/>
    <w:rsid w:val="00604738"/>
    <w:rsid w:val="00604973"/>
    <w:rsid w:val="006059F1"/>
    <w:rsid w:val="00610855"/>
    <w:rsid w:val="00611AAC"/>
    <w:rsid w:val="0061603F"/>
    <w:rsid w:val="006167F0"/>
    <w:rsid w:val="00617427"/>
    <w:rsid w:val="006174B0"/>
    <w:rsid w:val="006212D8"/>
    <w:rsid w:val="0062200B"/>
    <w:rsid w:val="00622464"/>
    <w:rsid w:val="00623AF5"/>
    <w:rsid w:val="00623EEC"/>
    <w:rsid w:val="00627159"/>
    <w:rsid w:val="00627BED"/>
    <w:rsid w:val="00630F06"/>
    <w:rsid w:val="0063151D"/>
    <w:rsid w:val="0063204B"/>
    <w:rsid w:val="00633A92"/>
    <w:rsid w:val="00634336"/>
    <w:rsid w:val="0063675B"/>
    <w:rsid w:val="00637824"/>
    <w:rsid w:val="00642F8B"/>
    <w:rsid w:val="0064398E"/>
    <w:rsid w:val="006449FB"/>
    <w:rsid w:val="00644EF7"/>
    <w:rsid w:val="00645BFB"/>
    <w:rsid w:val="00645F75"/>
    <w:rsid w:val="00647016"/>
    <w:rsid w:val="0065025D"/>
    <w:rsid w:val="00652A5E"/>
    <w:rsid w:val="006538D4"/>
    <w:rsid w:val="00653FF2"/>
    <w:rsid w:val="0065456F"/>
    <w:rsid w:val="006571C4"/>
    <w:rsid w:val="00657DA2"/>
    <w:rsid w:val="006603EA"/>
    <w:rsid w:val="00660ACB"/>
    <w:rsid w:val="00661BCF"/>
    <w:rsid w:val="006621FD"/>
    <w:rsid w:val="006628DA"/>
    <w:rsid w:val="00663575"/>
    <w:rsid w:val="00664C28"/>
    <w:rsid w:val="006668AE"/>
    <w:rsid w:val="0066745E"/>
    <w:rsid w:val="00667803"/>
    <w:rsid w:val="00667857"/>
    <w:rsid w:val="00673B4B"/>
    <w:rsid w:val="006740A7"/>
    <w:rsid w:val="006742EB"/>
    <w:rsid w:val="006742ED"/>
    <w:rsid w:val="0067446F"/>
    <w:rsid w:val="00674C9A"/>
    <w:rsid w:val="006755C5"/>
    <w:rsid w:val="0068375F"/>
    <w:rsid w:val="00683A9F"/>
    <w:rsid w:val="006849D7"/>
    <w:rsid w:val="006860F3"/>
    <w:rsid w:val="006927CB"/>
    <w:rsid w:val="00693E21"/>
    <w:rsid w:val="00693FB7"/>
    <w:rsid w:val="0069548D"/>
    <w:rsid w:val="00695D1B"/>
    <w:rsid w:val="006961F4"/>
    <w:rsid w:val="00696757"/>
    <w:rsid w:val="0069754E"/>
    <w:rsid w:val="00697550"/>
    <w:rsid w:val="00697881"/>
    <w:rsid w:val="006A0123"/>
    <w:rsid w:val="006A0843"/>
    <w:rsid w:val="006A1639"/>
    <w:rsid w:val="006A2716"/>
    <w:rsid w:val="006A2D10"/>
    <w:rsid w:val="006A54B4"/>
    <w:rsid w:val="006A5AB2"/>
    <w:rsid w:val="006A7241"/>
    <w:rsid w:val="006A7D26"/>
    <w:rsid w:val="006B1168"/>
    <w:rsid w:val="006B15A9"/>
    <w:rsid w:val="006B1D67"/>
    <w:rsid w:val="006B33C0"/>
    <w:rsid w:val="006B4007"/>
    <w:rsid w:val="006B7E73"/>
    <w:rsid w:val="006C1289"/>
    <w:rsid w:val="006C13C4"/>
    <w:rsid w:val="006C3802"/>
    <w:rsid w:val="006C4C6E"/>
    <w:rsid w:val="006C5479"/>
    <w:rsid w:val="006C54BE"/>
    <w:rsid w:val="006C5CCE"/>
    <w:rsid w:val="006C6020"/>
    <w:rsid w:val="006C7056"/>
    <w:rsid w:val="006C74F8"/>
    <w:rsid w:val="006C789A"/>
    <w:rsid w:val="006D0231"/>
    <w:rsid w:val="006D180B"/>
    <w:rsid w:val="006D1F60"/>
    <w:rsid w:val="006D350F"/>
    <w:rsid w:val="006D553E"/>
    <w:rsid w:val="006D5562"/>
    <w:rsid w:val="006D5874"/>
    <w:rsid w:val="006D60AF"/>
    <w:rsid w:val="006D6EC8"/>
    <w:rsid w:val="006D77A9"/>
    <w:rsid w:val="006E08A5"/>
    <w:rsid w:val="006E098F"/>
    <w:rsid w:val="006E316C"/>
    <w:rsid w:val="006E33BB"/>
    <w:rsid w:val="006E42D4"/>
    <w:rsid w:val="006E4897"/>
    <w:rsid w:val="006F0248"/>
    <w:rsid w:val="006F1F82"/>
    <w:rsid w:val="006F42A3"/>
    <w:rsid w:val="006F5D66"/>
    <w:rsid w:val="00700575"/>
    <w:rsid w:val="007035E7"/>
    <w:rsid w:val="00704003"/>
    <w:rsid w:val="00712067"/>
    <w:rsid w:val="00712CC1"/>
    <w:rsid w:val="00713A13"/>
    <w:rsid w:val="00713B9D"/>
    <w:rsid w:val="00713D42"/>
    <w:rsid w:val="0071492D"/>
    <w:rsid w:val="00714B3F"/>
    <w:rsid w:val="00715B88"/>
    <w:rsid w:val="0071751F"/>
    <w:rsid w:val="00721606"/>
    <w:rsid w:val="00722350"/>
    <w:rsid w:val="0072492C"/>
    <w:rsid w:val="00726F29"/>
    <w:rsid w:val="00730690"/>
    <w:rsid w:val="007340B3"/>
    <w:rsid w:val="00734BEE"/>
    <w:rsid w:val="0073591F"/>
    <w:rsid w:val="00737583"/>
    <w:rsid w:val="00740804"/>
    <w:rsid w:val="00742997"/>
    <w:rsid w:val="0074377E"/>
    <w:rsid w:val="00744401"/>
    <w:rsid w:val="00744CB9"/>
    <w:rsid w:val="007450D3"/>
    <w:rsid w:val="00747BC7"/>
    <w:rsid w:val="00752DFE"/>
    <w:rsid w:val="0075317C"/>
    <w:rsid w:val="0075494A"/>
    <w:rsid w:val="00755C6D"/>
    <w:rsid w:val="00756706"/>
    <w:rsid w:val="0076113A"/>
    <w:rsid w:val="007622CC"/>
    <w:rsid w:val="00767139"/>
    <w:rsid w:val="00767392"/>
    <w:rsid w:val="007700C4"/>
    <w:rsid w:val="00770E5B"/>
    <w:rsid w:val="00772CC3"/>
    <w:rsid w:val="00773E3C"/>
    <w:rsid w:val="007740CE"/>
    <w:rsid w:val="007749E6"/>
    <w:rsid w:val="0077598F"/>
    <w:rsid w:val="0078024D"/>
    <w:rsid w:val="007827A7"/>
    <w:rsid w:val="00784143"/>
    <w:rsid w:val="007847B0"/>
    <w:rsid w:val="00784AA5"/>
    <w:rsid w:val="00785337"/>
    <w:rsid w:val="00785FF8"/>
    <w:rsid w:val="0078721B"/>
    <w:rsid w:val="0078772E"/>
    <w:rsid w:val="0079059F"/>
    <w:rsid w:val="007918F1"/>
    <w:rsid w:val="00791E6D"/>
    <w:rsid w:val="00795727"/>
    <w:rsid w:val="00795C95"/>
    <w:rsid w:val="0079600A"/>
    <w:rsid w:val="00796B77"/>
    <w:rsid w:val="007A0985"/>
    <w:rsid w:val="007A09DA"/>
    <w:rsid w:val="007A1908"/>
    <w:rsid w:val="007A3B3A"/>
    <w:rsid w:val="007A3C92"/>
    <w:rsid w:val="007A41EC"/>
    <w:rsid w:val="007A46B1"/>
    <w:rsid w:val="007B0473"/>
    <w:rsid w:val="007B0AA4"/>
    <w:rsid w:val="007B52EF"/>
    <w:rsid w:val="007B6007"/>
    <w:rsid w:val="007B62CE"/>
    <w:rsid w:val="007C27D9"/>
    <w:rsid w:val="007C2993"/>
    <w:rsid w:val="007C3508"/>
    <w:rsid w:val="007C3944"/>
    <w:rsid w:val="007C3A7D"/>
    <w:rsid w:val="007C3F3E"/>
    <w:rsid w:val="007C4608"/>
    <w:rsid w:val="007C47D8"/>
    <w:rsid w:val="007C542C"/>
    <w:rsid w:val="007C5D0E"/>
    <w:rsid w:val="007C6A68"/>
    <w:rsid w:val="007C72ED"/>
    <w:rsid w:val="007C762A"/>
    <w:rsid w:val="007D0034"/>
    <w:rsid w:val="007D0E51"/>
    <w:rsid w:val="007D0FCD"/>
    <w:rsid w:val="007D385B"/>
    <w:rsid w:val="007D4914"/>
    <w:rsid w:val="007D5836"/>
    <w:rsid w:val="007D6504"/>
    <w:rsid w:val="007D71C1"/>
    <w:rsid w:val="007E06D2"/>
    <w:rsid w:val="007E36D1"/>
    <w:rsid w:val="007E443F"/>
    <w:rsid w:val="007E4B95"/>
    <w:rsid w:val="007E5A5A"/>
    <w:rsid w:val="007E5AB7"/>
    <w:rsid w:val="007E69EB"/>
    <w:rsid w:val="007E7C78"/>
    <w:rsid w:val="007E7E78"/>
    <w:rsid w:val="007F0E44"/>
    <w:rsid w:val="007F1D1A"/>
    <w:rsid w:val="007F25A9"/>
    <w:rsid w:val="007F2BB4"/>
    <w:rsid w:val="007F2C16"/>
    <w:rsid w:val="007F4847"/>
    <w:rsid w:val="007F5CCF"/>
    <w:rsid w:val="007F71EF"/>
    <w:rsid w:val="007F79CC"/>
    <w:rsid w:val="008015CB"/>
    <w:rsid w:val="00801F3E"/>
    <w:rsid w:val="00802053"/>
    <w:rsid w:val="00803166"/>
    <w:rsid w:val="00803635"/>
    <w:rsid w:val="0080447D"/>
    <w:rsid w:val="008056CB"/>
    <w:rsid w:val="0080612B"/>
    <w:rsid w:val="00806618"/>
    <w:rsid w:val="00807D5C"/>
    <w:rsid w:val="008100EE"/>
    <w:rsid w:val="00811173"/>
    <w:rsid w:val="00811180"/>
    <w:rsid w:val="0081276E"/>
    <w:rsid w:val="00812B05"/>
    <w:rsid w:val="008133D5"/>
    <w:rsid w:val="00816482"/>
    <w:rsid w:val="00817411"/>
    <w:rsid w:val="00820183"/>
    <w:rsid w:val="00824279"/>
    <w:rsid w:val="008252A6"/>
    <w:rsid w:val="00826522"/>
    <w:rsid w:val="00826618"/>
    <w:rsid w:val="00830F15"/>
    <w:rsid w:val="008342A6"/>
    <w:rsid w:val="00834B9A"/>
    <w:rsid w:val="0083513D"/>
    <w:rsid w:val="00835706"/>
    <w:rsid w:val="00836E93"/>
    <w:rsid w:val="0083716A"/>
    <w:rsid w:val="00837DE0"/>
    <w:rsid w:val="008406F2"/>
    <w:rsid w:val="00841132"/>
    <w:rsid w:val="00845408"/>
    <w:rsid w:val="0084727F"/>
    <w:rsid w:val="00851A10"/>
    <w:rsid w:val="00854756"/>
    <w:rsid w:val="00854A24"/>
    <w:rsid w:val="008555A1"/>
    <w:rsid w:val="008563DB"/>
    <w:rsid w:val="0086034E"/>
    <w:rsid w:val="00862B80"/>
    <w:rsid w:val="00865EA6"/>
    <w:rsid w:val="00866EB3"/>
    <w:rsid w:val="00874AE8"/>
    <w:rsid w:val="00876C15"/>
    <w:rsid w:val="00876FA2"/>
    <w:rsid w:val="0087774A"/>
    <w:rsid w:val="008777A3"/>
    <w:rsid w:val="00882BD2"/>
    <w:rsid w:val="00883473"/>
    <w:rsid w:val="008837C0"/>
    <w:rsid w:val="00886EDC"/>
    <w:rsid w:val="0088786F"/>
    <w:rsid w:val="0089007C"/>
    <w:rsid w:val="008917B9"/>
    <w:rsid w:val="00893288"/>
    <w:rsid w:val="00895583"/>
    <w:rsid w:val="00895DD3"/>
    <w:rsid w:val="008977CD"/>
    <w:rsid w:val="00897B27"/>
    <w:rsid w:val="008A0041"/>
    <w:rsid w:val="008A0769"/>
    <w:rsid w:val="008A1858"/>
    <w:rsid w:val="008A2170"/>
    <w:rsid w:val="008A2F66"/>
    <w:rsid w:val="008A3C57"/>
    <w:rsid w:val="008A3F8D"/>
    <w:rsid w:val="008A4C1E"/>
    <w:rsid w:val="008A51A1"/>
    <w:rsid w:val="008A66F6"/>
    <w:rsid w:val="008A7D05"/>
    <w:rsid w:val="008B03B6"/>
    <w:rsid w:val="008B130A"/>
    <w:rsid w:val="008B1553"/>
    <w:rsid w:val="008B34FF"/>
    <w:rsid w:val="008B5DAF"/>
    <w:rsid w:val="008B62E1"/>
    <w:rsid w:val="008B69BF"/>
    <w:rsid w:val="008B70D8"/>
    <w:rsid w:val="008B7BA1"/>
    <w:rsid w:val="008C060A"/>
    <w:rsid w:val="008C2744"/>
    <w:rsid w:val="008C2809"/>
    <w:rsid w:val="008C2F83"/>
    <w:rsid w:val="008C34A2"/>
    <w:rsid w:val="008C4C8D"/>
    <w:rsid w:val="008C4E7E"/>
    <w:rsid w:val="008C51E5"/>
    <w:rsid w:val="008C5D02"/>
    <w:rsid w:val="008C5F69"/>
    <w:rsid w:val="008C638A"/>
    <w:rsid w:val="008C787A"/>
    <w:rsid w:val="008D2675"/>
    <w:rsid w:val="008D26C5"/>
    <w:rsid w:val="008D45FD"/>
    <w:rsid w:val="008D64CD"/>
    <w:rsid w:val="008D6BF8"/>
    <w:rsid w:val="008D6EB6"/>
    <w:rsid w:val="008E3F35"/>
    <w:rsid w:val="008E498A"/>
    <w:rsid w:val="008E7557"/>
    <w:rsid w:val="008E7861"/>
    <w:rsid w:val="008F0987"/>
    <w:rsid w:val="008F4987"/>
    <w:rsid w:val="008F5584"/>
    <w:rsid w:val="008F7E99"/>
    <w:rsid w:val="00900977"/>
    <w:rsid w:val="00901E67"/>
    <w:rsid w:val="00902375"/>
    <w:rsid w:val="009032C6"/>
    <w:rsid w:val="00904498"/>
    <w:rsid w:val="009051BC"/>
    <w:rsid w:val="00905599"/>
    <w:rsid w:val="00905EFE"/>
    <w:rsid w:val="009072C9"/>
    <w:rsid w:val="00910836"/>
    <w:rsid w:val="009109F7"/>
    <w:rsid w:val="0091185D"/>
    <w:rsid w:val="0091293F"/>
    <w:rsid w:val="00913881"/>
    <w:rsid w:val="00915621"/>
    <w:rsid w:val="00915E65"/>
    <w:rsid w:val="00920AA6"/>
    <w:rsid w:val="00920DA8"/>
    <w:rsid w:val="00921210"/>
    <w:rsid w:val="009213AE"/>
    <w:rsid w:val="009227E1"/>
    <w:rsid w:val="00925AB5"/>
    <w:rsid w:val="009266AD"/>
    <w:rsid w:val="00926835"/>
    <w:rsid w:val="0092724E"/>
    <w:rsid w:val="00931311"/>
    <w:rsid w:val="00932021"/>
    <w:rsid w:val="0093208E"/>
    <w:rsid w:val="0093400D"/>
    <w:rsid w:val="009343F6"/>
    <w:rsid w:val="0093473D"/>
    <w:rsid w:val="00936EA9"/>
    <w:rsid w:val="009409C9"/>
    <w:rsid w:val="00940AEB"/>
    <w:rsid w:val="00941B96"/>
    <w:rsid w:val="00942008"/>
    <w:rsid w:val="0094234D"/>
    <w:rsid w:val="0094362E"/>
    <w:rsid w:val="0094471F"/>
    <w:rsid w:val="00944F82"/>
    <w:rsid w:val="009468AC"/>
    <w:rsid w:val="009500D0"/>
    <w:rsid w:val="00950C1B"/>
    <w:rsid w:val="0095243A"/>
    <w:rsid w:val="00952DBC"/>
    <w:rsid w:val="00953A48"/>
    <w:rsid w:val="0095501D"/>
    <w:rsid w:val="009555E5"/>
    <w:rsid w:val="00955AB2"/>
    <w:rsid w:val="00956B39"/>
    <w:rsid w:val="00957576"/>
    <w:rsid w:val="00957821"/>
    <w:rsid w:val="00957D19"/>
    <w:rsid w:val="00960799"/>
    <w:rsid w:val="00961E4F"/>
    <w:rsid w:val="00962B7E"/>
    <w:rsid w:val="00965741"/>
    <w:rsid w:val="00966195"/>
    <w:rsid w:val="009668E3"/>
    <w:rsid w:val="00967BC5"/>
    <w:rsid w:val="00970C9F"/>
    <w:rsid w:val="009715AB"/>
    <w:rsid w:val="009716CB"/>
    <w:rsid w:val="00971D24"/>
    <w:rsid w:val="00972A7E"/>
    <w:rsid w:val="00972C2F"/>
    <w:rsid w:val="0097390C"/>
    <w:rsid w:val="00981656"/>
    <w:rsid w:val="009852B5"/>
    <w:rsid w:val="00985B17"/>
    <w:rsid w:val="00986030"/>
    <w:rsid w:val="00986BBA"/>
    <w:rsid w:val="00987843"/>
    <w:rsid w:val="009910B9"/>
    <w:rsid w:val="0099161B"/>
    <w:rsid w:val="00991FFE"/>
    <w:rsid w:val="009922C0"/>
    <w:rsid w:val="00992D9E"/>
    <w:rsid w:val="00992F65"/>
    <w:rsid w:val="00994469"/>
    <w:rsid w:val="009949E6"/>
    <w:rsid w:val="00994E60"/>
    <w:rsid w:val="0099588E"/>
    <w:rsid w:val="0099611A"/>
    <w:rsid w:val="0099654A"/>
    <w:rsid w:val="0099753C"/>
    <w:rsid w:val="009A081C"/>
    <w:rsid w:val="009A175C"/>
    <w:rsid w:val="009A26A6"/>
    <w:rsid w:val="009A363F"/>
    <w:rsid w:val="009A4908"/>
    <w:rsid w:val="009A54CD"/>
    <w:rsid w:val="009A6A77"/>
    <w:rsid w:val="009A6B87"/>
    <w:rsid w:val="009A772E"/>
    <w:rsid w:val="009B0FCC"/>
    <w:rsid w:val="009B1987"/>
    <w:rsid w:val="009B400E"/>
    <w:rsid w:val="009B4B34"/>
    <w:rsid w:val="009B5D81"/>
    <w:rsid w:val="009B70FD"/>
    <w:rsid w:val="009B76E6"/>
    <w:rsid w:val="009C171E"/>
    <w:rsid w:val="009C3512"/>
    <w:rsid w:val="009C3C6E"/>
    <w:rsid w:val="009C4272"/>
    <w:rsid w:val="009C469C"/>
    <w:rsid w:val="009C48A9"/>
    <w:rsid w:val="009C4F02"/>
    <w:rsid w:val="009C5F2E"/>
    <w:rsid w:val="009C661C"/>
    <w:rsid w:val="009C669D"/>
    <w:rsid w:val="009C730F"/>
    <w:rsid w:val="009D01CB"/>
    <w:rsid w:val="009D022A"/>
    <w:rsid w:val="009D04B2"/>
    <w:rsid w:val="009D7E5E"/>
    <w:rsid w:val="009E1230"/>
    <w:rsid w:val="009E1459"/>
    <w:rsid w:val="009E1816"/>
    <w:rsid w:val="009E2EBE"/>
    <w:rsid w:val="009E4B30"/>
    <w:rsid w:val="009E5410"/>
    <w:rsid w:val="009E560D"/>
    <w:rsid w:val="009E5EC1"/>
    <w:rsid w:val="009E7572"/>
    <w:rsid w:val="009E7AFF"/>
    <w:rsid w:val="009F0287"/>
    <w:rsid w:val="009F16D9"/>
    <w:rsid w:val="009F18E8"/>
    <w:rsid w:val="009F50F5"/>
    <w:rsid w:val="00A03A42"/>
    <w:rsid w:val="00A03BF8"/>
    <w:rsid w:val="00A03F47"/>
    <w:rsid w:val="00A05C1E"/>
    <w:rsid w:val="00A06241"/>
    <w:rsid w:val="00A07448"/>
    <w:rsid w:val="00A132C3"/>
    <w:rsid w:val="00A143A8"/>
    <w:rsid w:val="00A16568"/>
    <w:rsid w:val="00A2271B"/>
    <w:rsid w:val="00A22DB0"/>
    <w:rsid w:val="00A231FB"/>
    <w:rsid w:val="00A25B3F"/>
    <w:rsid w:val="00A25EE8"/>
    <w:rsid w:val="00A26572"/>
    <w:rsid w:val="00A27551"/>
    <w:rsid w:val="00A30165"/>
    <w:rsid w:val="00A338BF"/>
    <w:rsid w:val="00A34272"/>
    <w:rsid w:val="00A34D29"/>
    <w:rsid w:val="00A352A5"/>
    <w:rsid w:val="00A35B9B"/>
    <w:rsid w:val="00A36D28"/>
    <w:rsid w:val="00A37552"/>
    <w:rsid w:val="00A404E8"/>
    <w:rsid w:val="00A41508"/>
    <w:rsid w:val="00A41674"/>
    <w:rsid w:val="00A4291E"/>
    <w:rsid w:val="00A45DA8"/>
    <w:rsid w:val="00A45DD2"/>
    <w:rsid w:val="00A46A7D"/>
    <w:rsid w:val="00A46EE5"/>
    <w:rsid w:val="00A47064"/>
    <w:rsid w:val="00A47687"/>
    <w:rsid w:val="00A507D2"/>
    <w:rsid w:val="00A50FB2"/>
    <w:rsid w:val="00A51E46"/>
    <w:rsid w:val="00A532C8"/>
    <w:rsid w:val="00A534A0"/>
    <w:rsid w:val="00A534DF"/>
    <w:rsid w:val="00A5459C"/>
    <w:rsid w:val="00A5484B"/>
    <w:rsid w:val="00A54F31"/>
    <w:rsid w:val="00A5574D"/>
    <w:rsid w:val="00A56691"/>
    <w:rsid w:val="00A56D11"/>
    <w:rsid w:val="00A56FEA"/>
    <w:rsid w:val="00A57C94"/>
    <w:rsid w:val="00A61237"/>
    <w:rsid w:val="00A61CEF"/>
    <w:rsid w:val="00A6299D"/>
    <w:rsid w:val="00A649B0"/>
    <w:rsid w:val="00A665BB"/>
    <w:rsid w:val="00A66653"/>
    <w:rsid w:val="00A67E19"/>
    <w:rsid w:val="00A7084C"/>
    <w:rsid w:val="00A71F24"/>
    <w:rsid w:val="00A730A0"/>
    <w:rsid w:val="00A75C0A"/>
    <w:rsid w:val="00A770B5"/>
    <w:rsid w:val="00A77BEE"/>
    <w:rsid w:val="00A77DF2"/>
    <w:rsid w:val="00A804B6"/>
    <w:rsid w:val="00A82484"/>
    <w:rsid w:val="00A8323F"/>
    <w:rsid w:val="00A865E6"/>
    <w:rsid w:val="00A87A54"/>
    <w:rsid w:val="00A90C52"/>
    <w:rsid w:val="00A9178A"/>
    <w:rsid w:val="00A91BFE"/>
    <w:rsid w:val="00A924A4"/>
    <w:rsid w:val="00A9589B"/>
    <w:rsid w:val="00A978D2"/>
    <w:rsid w:val="00AA0841"/>
    <w:rsid w:val="00AA2557"/>
    <w:rsid w:val="00AA270A"/>
    <w:rsid w:val="00AA4890"/>
    <w:rsid w:val="00AA619A"/>
    <w:rsid w:val="00AA7E90"/>
    <w:rsid w:val="00AB3A9F"/>
    <w:rsid w:val="00AB6A4B"/>
    <w:rsid w:val="00AB767A"/>
    <w:rsid w:val="00AB7C3F"/>
    <w:rsid w:val="00AC42E0"/>
    <w:rsid w:val="00AC4DAA"/>
    <w:rsid w:val="00AC6BD2"/>
    <w:rsid w:val="00AC6E4B"/>
    <w:rsid w:val="00AC6FB8"/>
    <w:rsid w:val="00AD00F7"/>
    <w:rsid w:val="00AD02C6"/>
    <w:rsid w:val="00AD0381"/>
    <w:rsid w:val="00AD03D2"/>
    <w:rsid w:val="00AD075B"/>
    <w:rsid w:val="00AD0832"/>
    <w:rsid w:val="00AD1138"/>
    <w:rsid w:val="00AD5A77"/>
    <w:rsid w:val="00AD63B2"/>
    <w:rsid w:val="00AD7BD0"/>
    <w:rsid w:val="00AD7CF5"/>
    <w:rsid w:val="00AE27F6"/>
    <w:rsid w:val="00AE2803"/>
    <w:rsid w:val="00AE68D6"/>
    <w:rsid w:val="00AF0A32"/>
    <w:rsid w:val="00AF19AC"/>
    <w:rsid w:val="00AF25C3"/>
    <w:rsid w:val="00AF328E"/>
    <w:rsid w:val="00AF6C05"/>
    <w:rsid w:val="00AF6FDD"/>
    <w:rsid w:val="00AF72AD"/>
    <w:rsid w:val="00AF7599"/>
    <w:rsid w:val="00B00749"/>
    <w:rsid w:val="00B008BF"/>
    <w:rsid w:val="00B00CC7"/>
    <w:rsid w:val="00B04075"/>
    <w:rsid w:val="00B04544"/>
    <w:rsid w:val="00B06152"/>
    <w:rsid w:val="00B06721"/>
    <w:rsid w:val="00B10965"/>
    <w:rsid w:val="00B11369"/>
    <w:rsid w:val="00B11A75"/>
    <w:rsid w:val="00B11F6E"/>
    <w:rsid w:val="00B147E7"/>
    <w:rsid w:val="00B14ACC"/>
    <w:rsid w:val="00B14E66"/>
    <w:rsid w:val="00B152CC"/>
    <w:rsid w:val="00B1628D"/>
    <w:rsid w:val="00B16F36"/>
    <w:rsid w:val="00B2224F"/>
    <w:rsid w:val="00B2225C"/>
    <w:rsid w:val="00B2324A"/>
    <w:rsid w:val="00B26C24"/>
    <w:rsid w:val="00B277E3"/>
    <w:rsid w:val="00B27985"/>
    <w:rsid w:val="00B3174A"/>
    <w:rsid w:val="00B3183B"/>
    <w:rsid w:val="00B31DD9"/>
    <w:rsid w:val="00B3389E"/>
    <w:rsid w:val="00B33BED"/>
    <w:rsid w:val="00B34CF3"/>
    <w:rsid w:val="00B36AD5"/>
    <w:rsid w:val="00B36BC1"/>
    <w:rsid w:val="00B41435"/>
    <w:rsid w:val="00B428F0"/>
    <w:rsid w:val="00B4300A"/>
    <w:rsid w:val="00B431C8"/>
    <w:rsid w:val="00B4323A"/>
    <w:rsid w:val="00B440D5"/>
    <w:rsid w:val="00B46092"/>
    <w:rsid w:val="00B460A0"/>
    <w:rsid w:val="00B513CA"/>
    <w:rsid w:val="00B52994"/>
    <w:rsid w:val="00B53D79"/>
    <w:rsid w:val="00B53E36"/>
    <w:rsid w:val="00B54A18"/>
    <w:rsid w:val="00B5545B"/>
    <w:rsid w:val="00B55623"/>
    <w:rsid w:val="00B576CF"/>
    <w:rsid w:val="00B626B5"/>
    <w:rsid w:val="00B62F75"/>
    <w:rsid w:val="00B679E2"/>
    <w:rsid w:val="00B67FC6"/>
    <w:rsid w:val="00B7018C"/>
    <w:rsid w:val="00B71012"/>
    <w:rsid w:val="00B71042"/>
    <w:rsid w:val="00B716A4"/>
    <w:rsid w:val="00B72619"/>
    <w:rsid w:val="00B77037"/>
    <w:rsid w:val="00B8243F"/>
    <w:rsid w:val="00B82F5E"/>
    <w:rsid w:val="00B835EA"/>
    <w:rsid w:val="00B857C8"/>
    <w:rsid w:val="00B8659C"/>
    <w:rsid w:val="00B86C35"/>
    <w:rsid w:val="00B9228B"/>
    <w:rsid w:val="00B92FC7"/>
    <w:rsid w:val="00B9560A"/>
    <w:rsid w:val="00B97631"/>
    <w:rsid w:val="00B97688"/>
    <w:rsid w:val="00B97F9C"/>
    <w:rsid w:val="00BA1A2A"/>
    <w:rsid w:val="00BA2218"/>
    <w:rsid w:val="00BA29F8"/>
    <w:rsid w:val="00BA33B5"/>
    <w:rsid w:val="00BA42EB"/>
    <w:rsid w:val="00BA5B1B"/>
    <w:rsid w:val="00BA5C0B"/>
    <w:rsid w:val="00BA641F"/>
    <w:rsid w:val="00BA6569"/>
    <w:rsid w:val="00BA6C64"/>
    <w:rsid w:val="00BA7B95"/>
    <w:rsid w:val="00BB0508"/>
    <w:rsid w:val="00BB2C69"/>
    <w:rsid w:val="00BB5106"/>
    <w:rsid w:val="00BB52D7"/>
    <w:rsid w:val="00BB6AB9"/>
    <w:rsid w:val="00BC6201"/>
    <w:rsid w:val="00BC6615"/>
    <w:rsid w:val="00BC6628"/>
    <w:rsid w:val="00BC7627"/>
    <w:rsid w:val="00BC7C72"/>
    <w:rsid w:val="00BD0086"/>
    <w:rsid w:val="00BD01F4"/>
    <w:rsid w:val="00BD0C91"/>
    <w:rsid w:val="00BD165F"/>
    <w:rsid w:val="00BD1795"/>
    <w:rsid w:val="00BD224D"/>
    <w:rsid w:val="00BD307D"/>
    <w:rsid w:val="00BD3F30"/>
    <w:rsid w:val="00BD61DE"/>
    <w:rsid w:val="00BD6A05"/>
    <w:rsid w:val="00BE07DA"/>
    <w:rsid w:val="00BE27E7"/>
    <w:rsid w:val="00BE41F3"/>
    <w:rsid w:val="00BE49B0"/>
    <w:rsid w:val="00BE5DA3"/>
    <w:rsid w:val="00BE64D9"/>
    <w:rsid w:val="00BF1F59"/>
    <w:rsid w:val="00BF395E"/>
    <w:rsid w:val="00BF53AB"/>
    <w:rsid w:val="00BF6532"/>
    <w:rsid w:val="00BF6B68"/>
    <w:rsid w:val="00BF6CAD"/>
    <w:rsid w:val="00BF731F"/>
    <w:rsid w:val="00BF7F8E"/>
    <w:rsid w:val="00C0017A"/>
    <w:rsid w:val="00C024F0"/>
    <w:rsid w:val="00C031DF"/>
    <w:rsid w:val="00C0752F"/>
    <w:rsid w:val="00C10CAC"/>
    <w:rsid w:val="00C11FF3"/>
    <w:rsid w:val="00C12126"/>
    <w:rsid w:val="00C12464"/>
    <w:rsid w:val="00C12535"/>
    <w:rsid w:val="00C125D3"/>
    <w:rsid w:val="00C132E2"/>
    <w:rsid w:val="00C14A5F"/>
    <w:rsid w:val="00C1513D"/>
    <w:rsid w:val="00C1532A"/>
    <w:rsid w:val="00C16518"/>
    <w:rsid w:val="00C16642"/>
    <w:rsid w:val="00C1694F"/>
    <w:rsid w:val="00C24886"/>
    <w:rsid w:val="00C2534D"/>
    <w:rsid w:val="00C255D3"/>
    <w:rsid w:val="00C25D61"/>
    <w:rsid w:val="00C264E8"/>
    <w:rsid w:val="00C26EB5"/>
    <w:rsid w:val="00C27492"/>
    <w:rsid w:val="00C3131B"/>
    <w:rsid w:val="00C319A4"/>
    <w:rsid w:val="00C33543"/>
    <w:rsid w:val="00C367FD"/>
    <w:rsid w:val="00C36BC1"/>
    <w:rsid w:val="00C371C8"/>
    <w:rsid w:val="00C3720F"/>
    <w:rsid w:val="00C3763E"/>
    <w:rsid w:val="00C40221"/>
    <w:rsid w:val="00C40C18"/>
    <w:rsid w:val="00C40ED9"/>
    <w:rsid w:val="00C415C3"/>
    <w:rsid w:val="00C44F2D"/>
    <w:rsid w:val="00C45637"/>
    <w:rsid w:val="00C4681F"/>
    <w:rsid w:val="00C47152"/>
    <w:rsid w:val="00C4715C"/>
    <w:rsid w:val="00C479B1"/>
    <w:rsid w:val="00C47FF7"/>
    <w:rsid w:val="00C50303"/>
    <w:rsid w:val="00C5051C"/>
    <w:rsid w:val="00C519AB"/>
    <w:rsid w:val="00C5211D"/>
    <w:rsid w:val="00C52F36"/>
    <w:rsid w:val="00C530F0"/>
    <w:rsid w:val="00C536CA"/>
    <w:rsid w:val="00C55D85"/>
    <w:rsid w:val="00C56210"/>
    <w:rsid w:val="00C56AE9"/>
    <w:rsid w:val="00C60248"/>
    <w:rsid w:val="00C614A1"/>
    <w:rsid w:val="00C61F8B"/>
    <w:rsid w:val="00C66BBE"/>
    <w:rsid w:val="00C67B9B"/>
    <w:rsid w:val="00C67E10"/>
    <w:rsid w:val="00C70029"/>
    <w:rsid w:val="00C77503"/>
    <w:rsid w:val="00C81087"/>
    <w:rsid w:val="00C8150C"/>
    <w:rsid w:val="00C81B06"/>
    <w:rsid w:val="00C8310F"/>
    <w:rsid w:val="00C8502F"/>
    <w:rsid w:val="00C865C6"/>
    <w:rsid w:val="00C87917"/>
    <w:rsid w:val="00C92535"/>
    <w:rsid w:val="00C93F49"/>
    <w:rsid w:val="00C94DAB"/>
    <w:rsid w:val="00C96CA1"/>
    <w:rsid w:val="00C9745E"/>
    <w:rsid w:val="00CA45CE"/>
    <w:rsid w:val="00CA6DD8"/>
    <w:rsid w:val="00CA7C94"/>
    <w:rsid w:val="00CB09FD"/>
    <w:rsid w:val="00CB1422"/>
    <w:rsid w:val="00CB175A"/>
    <w:rsid w:val="00CB1F38"/>
    <w:rsid w:val="00CB388E"/>
    <w:rsid w:val="00CB4DF4"/>
    <w:rsid w:val="00CB51AA"/>
    <w:rsid w:val="00CB55CC"/>
    <w:rsid w:val="00CB589F"/>
    <w:rsid w:val="00CB5B5F"/>
    <w:rsid w:val="00CC1F7E"/>
    <w:rsid w:val="00CC1F9A"/>
    <w:rsid w:val="00CC207E"/>
    <w:rsid w:val="00CC2DB7"/>
    <w:rsid w:val="00CC3EAE"/>
    <w:rsid w:val="00CC5BCC"/>
    <w:rsid w:val="00CC5CE8"/>
    <w:rsid w:val="00CC77C9"/>
    <w:rsid w:val="00CD0210"/>
    <w:rsid w:val="00CD1601"/>
    <w:rsid w:val="00CD1962"/>
    <w:rsid w:val="00CD2E8C"/>
    <w:rsid w:val="00CD3762"/>
    <w:rsid w:val="00CD50C2"/>
    <w:rsid w:val="00CD73DB"/>
    <w:rsid w:val="00CD781B"/>
    <w:rsid w:val="00CD791E"/>
    <w:rsid w:val="00CE0FF6"/>
    <w:rsid w:val="00CE2315"/>
    <w:rsid w:val="00CE605D"/>
    <w:rsid w:val="00CF07E3"/>
    <w:rsid w:val="00CF0D59"/>
    <w:rsid w:val="00CF1471"/>
    <w:rsid w:val="00CF1FAE"/>
    <w:rsid w:val="00CF5149"/>
    <w:rsid w:val="00CF5FA9"/>
    <w:rsid w:val="00CF6D11"/>
    <w:rsid w:val="00D005A5"/>
    <w:rsid w:val="00D005E6"/>
    <w:rsid w:val="00D00E3C"/>
    <w:rsid w:val="00D01938"/>
    <w:rsid w:val="00D03ECE"/>
    <w:rsid w:val="00D055FB"/>
    <w:rsid w:val="00D0773E"/>
    <w:rsid w:val="00D1017C"/>
    <w:rsid w:val="00D101DF"/>
    <w:rsid w:val="00D11F93"/>
    <w:rsid w:val="00D12705"/>
    <w:rsid w:val="00D14C8F"/>
    <w:rsid w:val="00D15311"/>
    <w:rsid w:val="00D15649"/>
    <w:rsid w:val="00D15C44"/>
    <w:rsid w:val="00D21DA4"/>
    <w:rsid w:val="00D24278"/>
    <w:rsid w:val="00D24B28"/>
    <w:rsid w:val="00D30A1F"/>
    <w:rsid w:val="00D31149"/>
    <w:rsid w:val="00D31E56"/>
    <w:rsid w:val="00D339E8"/>
    <w:rsid w:val="00D35604"/>
    <w:rsid w:val="00D366EC"/>
    <w:rsid w:val="00D37EA6"/>
    <w:rsid w:val="00D42FFE"/>
    <w:rsid w:val="00D430CB"/>
    <w:rsid w:val="00D4403D"/>
    <w:rsid w:val="00D440D5"/>
    <w:rsid w:val="00D451A1"/>
    <w:rsid w:val="00D4601F"/>
    <w:rsid w:val="00D4658B"/>
    <w:rsid w:val="00D50448"/>
    <w:rsid w:val="00D51341"/>
    <w:rsid w:val="00D5174A"/>
    <w:rsid w:val="00D52B50"/>
    <w:rsid w:val="00D53FD5"/>
    <w:rsid w:val="00D541D1"/>
    <w:rsid w:val="00D56E16"/>
    <w:rsid w:val="00D57316"/>
    <w:rsid w:val="00D628CE"/>
    <w:rsid w:val="00D6311A"/>
    <w:rsid w:val="00D6324E"/>
    <w:rsid w:val="00D634B0"/>
    <w:rsid w:val="00D6464D"/>
    <w:rsid w:val="00D65049"/>
    <w:rsid w:val="00D65202"/>
    <w:rsid w:val="00D65837"/>
    <w:rsid w:val="00D65E68"/>
    <w:rsid w:val="00D70708"/>
    <w:rsid w:val="00D71696"/>
    <w:rsid w:val="00D720EC"/>
    <w:rsid w:val="00D726E6"/>
    <w:rsid w:val="00D7392C"/>
    <w:rsid w:val="00D75D85"/>
    <w:rsid w:val="00D76632"/>
    <w:rsid w:val="00D76CDD"/>
    <w:rsid w:val="00D821ED"/>
    <w:rsid w:val="00D84184"/>
    <w:rsid w:val="00D842F1"/>
    <w:rsid w:val="00D85042"/>
    <w:rsid w:val="00D85C5C"/>
    <w:rsid w:val="00D87191"/>
    <w:rsid w:val="00D90661"/>
    <w:rsid w:val="00D9264D"/>
    <w:rsid w:val="00D94562"/>
    <w:rsid w:val="00D94CBF"/>
    <w:rsid w:val="00D955AA"/>
    <w:rsid w:val="00D96E5F"/>
    <w:rsid w:val="00D97401"/>
    <w:rsid w:val="00D97B56"/>
    <w:rsid w:val="00D97FF8"/>
    <w:rsid w:val="00DA3135"/>
    <w:rsid w:val="00DA46A2"/>
    <w:rsid w:val="00DA68F0"/>
    <w:rsid w:val="00DA7086"/>
    <w:rsid w:val="00DB00DB"/>
    <w:rsid w:val="00DB0C6C"/>
    <w:rsid w:val="00DB188B"/>
    <w:rsid w:val="00DB1A23"/>
    <w:rsid w:val="00DB1E79"/>
    <w:rsid w:val="00DB24CD"/>
    <w:rsid w:val="00DB282C"/>
    <w:rsid w:val="00DB4D04"/>
    <w:rsid w:val="00DB5E9B"/>
    <w:rsid w:val="00DB68F8"/>
    <w:rsid w:val="00DB7B24"/>
    <w:rsid w:val="00DC0102"/>
    <w:rsid w:val="00DC1615"/>
    <w:rsid w:val="00DC2048"/>
    <w:rsid w:val="00DC52C2"/>
    <w:rsid w:val="00DC6D66"/>
    <w:rsid w:val="00DC76AA"/>
    <w:rsid w:val="00DC7932"/>
    <w:rsid w:val="00DC7F93"/>
    <w:rsid w:val="00DD1FE5"/>
    <w:rsid w:val="00DD3957"/>
    <w:rsid w:val="00DD5280"/>
    <w:rsid w:val="00DD7303"/>
    <w:rsid w:val="00DD7A41"/>
    <w:rsid w:val="00DE0320"/>
    <w:rsid w:val="00DE03A8"/>
    <w:rsid w:val="00DE0995"/>
    <w:rsid w:val="00DE23E6"/>
    <w:rsid w:val="00DE2A59"/>
    <w:rsid w:val="00DE37C3"/>
    <w:rsid w:val="00DE3BA5"/>
    <w:rsid w:val="00DE5A61"/>
    <w:rsid w:val="00DF0320"/>
    <w:rsid w:val="00DF1847"/>
    <w:rsid w:val="00DF2617"/>
    <w:rsid w:val="00DF3805"/>
    <w:rsid w:val="00DF3A14"/>
    <w:rsid w:val="00DF422D"/>
    <w:rsid w:val="00DF4A83"/>
    <w:rsid w:val="00DF67C2"/>
    <w:rsid w:val="00DF6B34"/>
    <w:rsid w:val="00DF6EDE"/>
    <w:rsid w:val="00DF7790"/>
    <w:rsid w:val="00E01AD7"/>
    <w:rsid w:val="00E0203E"/>
    <w:rsid w:val="00E0205E"/>
    <w:rsid w:val="00E02E98"/>
    <w:rsid w:val="00E037F7"/>
    <w:rsid w:val="00E05546"/>
    <w:rsid w:val="00E05BB5"/>
    <w:rsid w:val="00E0701E"/>
    <w:rsid w:val="00E11FCA"/>
    <w:rsid w:val="00E13017"/>
    <w:rsid w:val="00E138C5"/>
    <w:rsid w:val="00E13FAD"/>
    <w:rsid w:val="00E1539E"/>
    <w:rsid w:val="00E20348"/>
    <w:rsid w:val="00E2051A"/>
    <w:rsid w:val="00E20C82"/>
    <w:rsid w:val="00E24A58"/>
    <w:rsid w:val="00E25C6D"/>
    <w:rsid w:val="00E275A3"/>
    <w:rsid w:val="00E315F1"/>
    <w:rsid w:val="00E36561"/>
    <w:rsid w:val="00E36B9A"/>
    <w:rsid w:val="00E404C6"/>
    <w:rsid w:val="00E40EE7"/>
    <w:rsid w:val="00E41A43"/>
    <w:rsid w:val="00E42C3B"/>
    <w:rsid w:val="00E4434F"/>
    <w:rsid w:val="00E44492"/>
    <w:rsid w:val="00E44F43"/>
    <w:rsid w:val="00E452C1"/>
    <w:rsid w:val="00E5010D"/>
    <w:rsid w:val="00E520F2"/>
    <w:rsid w:val="00E57035"/>
    <w:rsid w:val="00E60397"/>
    <w:rsid w:val="00E604F1"/>
    <w:rsid w:val="00E61CDC"/>
    <w:rsid w:val="00E6260D"/>
    <w:rsid w:val="00E6463F"/>
    <w:rsid w:val="00E64A55"/>
    <w:rsid w:val="00E659F6"/>
    <w:rsid w:val="00E65F20"/>
    <w:rsid w:val="00E66C9B"/>
    <w:rsid w:val="00E705AE"/>
    <w:rsid w:val="00E7101F"/>
    <w:rsid w:val="00E711C3"/>
    <w:rsid w:val="00E7130F"/>
    <w:rsid w:val="00E7215E"/>
    <w:rsid w:val="00E724B3"/>
    <w:rsid w:val="00E73B58"/>
    <w:rsid w:val="00E74BDC"/>
    <w:rsid w:val="00E77569"/>
    <w:rsid w:val="00E77A7A"/>
    <w:rsid w:val="00E80C72"/>
    <w:rsid w:val="00E832F4"/>
    <w:rsid w:val="00E86346"/>
    <w:rsid w:val="00E87195"/>
    <w:rsid w:val="00E87BC3"/>
    <w:rsid w:val="00E87D1B"/>
    <w:rsid w:val="00E901B4"/>
    <w:rsid w:val="00E90B7F"/>
    <w:rsid w:val="00E9469C"/>
    <w:rsid w:val="00E950B7"/>
    <w:rsid w:val="00E95BC8"/>
    <w:rsid w:val="00E97433"/>
    <w:rsid w:val="00EA0C83"/>
    <w:rsid w:val="00EA2B66"/>
    <w:rsid w:val="00EA45E2"/>
    <w:rsid w:val="00EA46E4"/>
    <w:rsid w:val="00EA6705"/>
    <w:rsid w:val="00EA7037"/>
    <w:rsid w:val="00EB07AC"/>
    <w:rsid w:val="00EB2C1F"/>
    <w:rsid w:val="00EB6863"/>
    <w:rsid w:val="00EB6FF6"/>
    <w:rsid w:val="00EB7E76"/>
    <w:rsid w:val="00EC1851"/>
    <w:rsid w:val="00EC1E37"/>
    <w:rsid w:val="00EC457F"/>
    <w:rsid w:val="00EC51C9"/>
    <w:rsid w:val="00EC5D6C"/>
    <w:rsid w:val="00EC70F4"/>
    <w:rsid w:val="00EC7C56"/>
    <w:rsid w:val="00ED4C0C"/>
    <w:rsid w:val="00ED52BE"/>
    <w:rsid w:val="00ED5CB4"/>
    <w:rsid w:val="00ED5FC2"/>
    <w:rsid w:val="00ED7C15"/>
    <w:rsid w:val="00EE0560"/>
    <w:rsid w:val="00EE0836"/>
    <w:rsid w:val="00EE0A49"/>
    <w:rsid w:val="00EE1526"/>
    <w:rsid w:val="00EE15A2"/>
    <w:rsid w:val="00EE1738"/>
    <w:rsid w:val="00EE533E"/>
    <w:rsid w:val="00EE5561"/>
    <w:rsid w:val="00EE597D"/>
    <w:rsid w:val="00EF1347"/>
    <w:rsid w:val="00EF1DD5"/>
    <w:rsid w:val="00EF213A"/>
    <w:rsid w:val="00EF346E"/>
    <w:rsid w:val="00EF3A6C"/>
    <w:rsid w:val="00EF4585"/>
    <w:rsid w:val="00EF4CD7"/>
    <w:rsid w:val="00EF5E35"/>
    <w:rsid w:val="00EF786D"/>
    <w:rsid w:val="00EF7CAE"/>
    <w:rsid w:val="00F003DD"/>
    <w:rsid w:val="00F00DDF"/>
    <w:rsid w:val="00F01279"/>
    <w:rsid w:val="00F015A2"/>
    <w:rsid w:val="00F027A4"/>
    <w:rsid w:val="00F05140"/>
    <w:rsid w:val="00F05D10"/>
    <w:rsid w:val="00F066F2"/>
    <w:rsid w:val="00F078B7"/>
    <w:rsid w:val="00F102F6"/>
    <w:rsid w:val="00F10735"/>
    <w:rsid w:val="00F123A1"/>
    <w:rsid w:val="00F148A1"/>
    <w:rsid w:val="00F151AE"/>
    <w:rsid w:val="00F16DCF"/>
    <w:rsid w:val="00F16E4B"/>
    <w:rsid w:val="00F178C7"/>
    <w:rsid w:val="00F21109"/>
    <w:rsid w:val="00F21539"/>
    <w:rsid w:val="00F21E17"/>
    <w:rsid w:val="00F225F7"/>
    <w:rsid w:val="00F23CFE"/>
    <w:rsid w:val="00F24333"/>
    <w:rsid w:val="00F24973"/>
    <w:rsid w:val="00F266FC"/>
    <w:rsid w:val="00F26FBF"/>
    <w:rsid w:val="00F31D26"/>
    <w:rsid w:val="00F32140"/>
    <w:rsid w:val="00F3287E"/>
    <w:rsid w:val="00F32BEC"/>
    <w:rsid w:val="00F33071"/>
    <w:rsid w:val="00F3668D"/>
    <w:rsid w:val="00F368DD"/>
    <w:rsid w:val="00F400BD"/>
    <w:rsid w:val="00F41619"/>
    <w:rsid w:val="00F43F3B"/>
    <w:rsid w:val="00F44A84"/>
    <w:rsid w:val="00F44B70"/>
    <w:rsid w:val="00F451D6"/>
    <w:rsid w:val="00F45CCD"/>
    <w:rsid w:val="00F46934"/>
    <w:rsid w:val="00F4735C"/>
    <w:rsid w:val="00F47DEB"/>
    <w:rsid w:val="00F5023D"/>
    <w:rsid w:val="00F50FB1"/>
    <w:rsid w:val="00F51F5A"/>
    <w:rsid w:val="00F556A0"/>
    <w:rsid w:val="00F56753"/>
    <w:rsid w:val="00F567FE"/>
    <w:rsid w:val="00F60579"/>
    <w:rsid w:val="00F60828"/>
    <w:rsid w:val="00F60B72"/>
    <w:rsid w:val="00F61502"/>
    <w:rsid w:val="00F62294"/>
    <w:rsid w:val="00F633F5"/>
    <w:rsid w:val="00F6437E"/>
    <w:rsid w:val="00F653D1"/>
    <w:rsid w:val="00F66171"/>
    <w:rsid w:val="00F6671F"/>
    <w:rsid w:val="00F6793A"/>
    <w:rsid w:val="00F70DA7"/>
    <w:rsid w:val="00F73FE4"/>
    <w:rsid w:val="00F74809"/>
    <w:rsid w:val="00F75680"/>
    <w:rsid w:val="00F75B77"/>
    <w:rsid w:val="00F76B88"/>
    <w:rsid w:val="00F7781F"/>
    <w:rsid w:val="00F779E3"/>
    <w:rsid w:val="00F804F4"/>
    <w:rsid w:val="00F81809"/>
    <w:rsid w:val="00F822E4"/>
    <w:rsid w:val="00F82CB4"/>
    <w:rsid w:val="00F83103"/>
    <w:rsid w:val="00F8411D"/>
    <w:rsid w:val="00F85E06"/>
    <w:rsid w:val="00F86B55"/>
    <w:rsid w:val="00F86D2E"/>
    <w:rsid w:val="00F91163"/>
    <w:rsid w:val="00F925E0"/>
    <w:rsid w:val="00F946A7"/>
    <w:rsid w:val="00F9624A"/>
    <w:rsid w:val="00F97A0F"/>
    <w:rsid w:val="00FA039D"/>
    <w:rsid w:val="00FA090C"/>
    <w:rsid w:val="00FA0D7D"/>
    <w:rsid w:val="00FA3754"/>
    <w:rsid w:val="00FA4637"/>
    <w:rsid w:val="00FA4AAA"/>
    <w:rsid w:val="00FA4CCA"/>
    <w:rsid w:val="00FA575A"/>
    <w:rsid w:val="00FA5922"/>
    <w:rsid w:val="00FA5E82"/>
    <w:rsid w:val="00FA6089"/>
    <w:rsid w:val="00FB0186"/>
    <w:rsid w:val="00FB0D15"/>
    <w:rsid w:val="00FB0D54"/>
    <w:rsid w:val="00FB26E0"/>
    <w:rsid w:val="00FB38F0"/>
    <w:rsid w:val="00FB5164"/>
    <w:rsid w:val="00FB6008"/>
    <w:rsid w:val="00FB75DA"/>
    <w:rsid w:val="00FC0963"/>
    <w:rsid w:val="00FC0BF3"/>
    <w:rsid w:val="00FC1518"/>
    <w:rsid w:val="00FC275B"/>
    <w:rsid w:val="00FC33E2"/>
    <w:rsid w:val="00FC4780"/>
    <w:rsid w:val="00FC4BA7"/>
    <w:rsid w:val="00FC512C"/>
    <w:rsid w:val="00FC6CCD"/>
    <w:rsid w:val="00FD1AE4"/>
    <w:rsid w:val="00FD2720"/>
    <w:rsid w:val="00FD2E83"/>
    <w:rsid w:val="00FD35FD"/>
    <w:rsid w:val="00FD5070"/>
    <w:rsid w:val="00FD56E2"/>
    <w:rsid w:val="00FD70FD"/>
    <w:rsid w:val="00FD7A5C"/>
    <w:rsid w:val="00FD7D99"/>
    <w:rsid w:val="00FE1826"/>
    <w:rsid w:val="00FE3CB9"/>
    <w:rsid w:val="00FE59B7"/>
    <w:rsid w:val="00FE5AA4"/>
    <w:rsid w:val="00FF01E1"/>
    <w:rsid w:val="00FF0D6C"/>
    <w:rsid w:val="00FF0D88"/>
    <w:rsid w:val="00FF0E11"/>
    <w:rsid w:val="00FF2F8B"/>
    <w:rsid w:val="00FF341A"/>
    <w:rsid w:val="00FF3A4B"/>
    <w:rsid w:val="00FF4899"/>
    <w:rsid w:val="00FF4FD9"/>
    <w:rsid w:val="00FF604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553E"/>
    <w:rPr>
      <w:rFonts w:cs="Times New Roman"/>
      <w:caps/>
      <w:color w:val="FFFFFF"/>
      <w:spacing w:val="15"/>
      <w:sz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007C"/>
    <w:rPr>
      <w:rFonts w:cs="Times New Roman"/>
      <w:caps/>
      <w:spacing w:val="15"/>
      <w:shd w:val="clear" w:color="auto" w:fill="F1CBF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007C"/>
    <w:rPr>
      <w:rFonts w:cs="Times New Roman"/>
      <w:caps/>
      <w:color w:val="481346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9007C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9007C"/>
    <w:rPr>
      <w:rFonts w:cs="Times New Roman"/>
      <w:i/>
      <w:caps/>
      <w:spacing w:val="10"/>
      <w:sz w:val="18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991FFE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991FFE"/>
    <w:rPr>
      <w:rFonts w:cs="Times New Roman"/>
      <w:sz w:val="16"/>
    </w:rPr>
  </w:style>
  <w:style w:type="paragraph" w:customStyle="1" w:styleId="Default">
    <w:name w:val="Default"/>
    <w:uiPriority w:val="99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91F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FFE"/>
    <w:rPr>
      <w:rFonts w:ascii="Tahoma" w:hAnsi="Tahoma" w:cs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4AFB"/>
    <w:rPr>
      <w:rFonts w:ascii="Times New Roman" w:hAnsi="Times New Roman" w:cs="Times New Roman"/>
      <w:b/>
      <w:lang w:eastAsia="en-US"/>
    </w:rPr>
  </w:style>
  <w:style w:type="paragraph" w:styleId="Legenda">
    <w:name w:val="caption"/>
    <w:basedOn w:val="Normalny"/>
    <w:next w:val="Normalny"/>
    <w:uiPriority w:val="99"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07C"/>
    <w:rPr>
      <w:rFonts w:ascii="Calibri Light" w:hAnsi="Calibri Light" w:cs="Times New Roman"/>
      <w:caps/>
      <w:color w:val="92278F"/>
      <w:spacing w:val="10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007C"/>
    <w:rPr>
      <w:rFonts w:cs="Times New Roman"/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99"/>
    <w:qFormat/>
    <w:rsid w:val="0089007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9007C"/>
    <w:rPr>
      <w:rFonts w:cs="Times New Roman"/>
      <w:caps/>
      <w:color w:val="481346"/>
      <w:spacing w:val="5"/>
    </w:rPr>
  </w:style>
  <w:style w:type="paragraph" w:styleId="Bezodstpw">
    <w:name w:val="No Spacing"/>
    <w:uiPriority w:val="99"/>
    <w:qFormat/>
    <w:rsid w:val="0089007C"/>
    <w:pPr>
      <w:spacing w:before="100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9007C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9007C"/>
    <w:rPr>
      <w:rFonts w:cs="Times New Roman"/>
      <w:color w:val="92278F"/>
      <w:sz w:val="24"/>
    </w:rPr>
  </w:style>
  <w:style w:type="character" w:styleId="Wyrnieniedelikatne">
    <w:name w:val="Subtle Emphasis"/>
    <w:basedOn w:val="Domylnaczcionkaakapitu"/>
    <w:uiPriority w:val="99"/>
    <w:qFormat/>
    <w:rsid w:val="0089007C"/>
    <w:rPr>
      <w:rFonts w:cs="Times New Roman"/>
      <w:i/>
      <w:color w:val="481346"/>
    </w:rPr>
  </w:style>
  <w:style w:type="character" w:styleId="Wyrnienieintensywne">
    <w:name w:val="Intense Emphasis"/>
    <w:basedOn w:val="Domylnaczcionkaakapitu"/>
    <w:uiPriority w:val="99"/>
    <w:qFormat/>
    <w:rsid w:val="0089007C"/>
    <w:rPr>
      <w:rFonts w:cs="Times New Roman"/>
      <w:b/>
      <w:caps/>
      <w:color w:val="481346"/>
      <w:spacing w:val="10"/>
    </w:rPr>
  </w:style>
  <w:style w:type="character" w:styleId="Odwoaniedelikatne">
    <w:name w:val="Subtle Reference"/>
    <w:basedOn w:val="Domylnaczcionkaakapitu"/>
    <w:uiPriority w:val="99"/>
    <w:qFormat/>
    <w:rsid w:val="0089007C"/>
    <w:rPr>
      <w:rFonts w:cs="Times New Roman"/>
      <w:b/>
      <w:color w:val="92278F"/>
    </w:rPr>
  </w:style>
  <w:style w:type="character" w:styleId="Odwoanieintensywne">
    <w:name w:val="Intense Reference"/>
    <w:basedOn w:val="Domylnaczcionkaakapitu"/>
    <w:uiPriority w:val="99"/>
    <w:qFormat/>
    <w:rsid w:val="0089007C"/>
    <w:rPr>
      <w:rFonts w:cs="Times New Roman"/>
      <w:b/>
      <w:i/>
      <w:caps/>
      <w:color w:val="92278F"/>
    </w:rPr>
  </w:style>
  <w:style w:type="character" w:styleId="Tytuksiki">
    <w:name w:val="Book Title"/>
    <w:basedOn w:val="Domylnaczcionkaakapitu"/>
    <w:uiPriority w:val="99"/>
    <w:qFormat/>
    <w:rsid w:val="0089007C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4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46E8"/>
    <w:rPr>
      <w:rFonts w:cs="Times New Roman"/>
    </w:rPr>
  </w:style>
  <w:style w:type="paragraph" w:styleId="Poprawka">
    <w:name w:val="Revision"/>
    <w:hidden/>
    <w:uiPriority w:val="99"/>
    <w:semiHidden/>
    <w:rsid w:val="003E0149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D0AA1"/>
    <w:pPr>
      <w:spacing w:before="0"/>
      <w:ind w:left="720"/>
      <w:contextualSpacing/>
    </w:pPr>
    <w:rPr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051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2051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CF5149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locked/>
    <w:rsid w:val="00BD01F4"/>
    <w:rPr>
      <w:rFonts w:ascii="Times New Roman" w:hAnsi="Times New Roman"/>
    </w:rPr>
  </w:style>
  <w:style w:type="character" w:customStyle="1" w:styleId="IGindeksgrny">
    <w:name w:val="_IG_ – indeks górny"/>
    <w:uiPriority w:val="99"/>
    <w:rsid w:val="005D5CB4"/>
    <w:rPr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rsid w:val="008406F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71492D"/>
    <w:rPr>
      <w:rFonts w:eastAsia="Times New Roman"/>
      <w:sz w:val="22"/>
      <w:lang w:eastAsia="en-US"/>
    </w:rPr>
  </w:style>
  <w:style w:type="character" w:customStyle="1" w:styleId="h11">
    <w:name w:val="h11"/>
    <w:uiPriority w:val="99"/>
    <w:rsid w:val="003C65F3"/>
    <w:rPr>
      <w:rFonts w:ascii="Verdana" w:hAnsi="Verdana"/>
      <w:b/>
      <w:sz w:val="23"/>
    </w:rPr>
  </w:style>
  <w:style w:type="character" w:customStyle="1" w:styleId="apple-converted-space">
    <w:name w:val="apple-converted-space"/>
    <w:basedOn w:val="Domylnaczcionkaakapitu"/>
    <w:uiPriority w:val="99"/>
    <w:rsid w:val="003C65F3"/>
    <w:rPr>
      <w:rFonts w:cs="Times New Roman"/>
    </w:rPr>
  </w:style>
  <w:style w:type="character" w:customStyle="1" w:styleId="Ppogrubienie">
    <w:name w:val="_P_ – pogrubienie"/>
    <w:uiPriority w:val="99"/>
    <w:rsid w:val="00DE5A6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553E"/>
    <w:rPr>
      <w:rFonts w:cs="Times New Roman"/>
      <w:caps/>
      <w:color w:val="FFFFFF"/>
      <w:spacing w:val="15"/>
      <w:sz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007C"/>
    <w:rPr>
      <w:rFonts w:cs="Times New Roman"/>
      <w:caps/>
      <w:spacing w:val="15"/>
      <w:shd w:val="clear" w:color="auto" w:fill="F1CBF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007C"/>
    <w:rPr>
      <w:rFonts w:cs="Times New Roman"/>
      <w:caps/>
      <w:color w:val="481346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9007C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9007C"/>
    <w:rPr>
      <w:rFonts w:cs="Times New Roman"/>
      <w:i/>
      <w:caps/>
      <w:spacing w:val="10"/>
      <w:sz w:val="18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991FFE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991FFE"/>
    <w:rPr>
      <w:rFonts w:cs="Times New Roman"/>
      <w:sz w:val="16"/>
    </w:rPr>
  </w:style>
  <w:style w:type="paragraph" w:customStyle="1" w:styleId="Default">
    <w:name w:val="Default"/>
    <w:uiPriority w:val="99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91F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FFE"/>
    <w:rPr>
      <w:rFonts w:ascii="Tahoma" w:hAnsi="Tahoma" w:cs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4AFB"/>
    <w:rPr>
      <w:rFonts w:ascii="Times New Roman" w:hAnsi="Times New Roman" w:cs="Times New Roman"/>
      <w:b/>
      <w:lang w:eastAsia="en-US"/>
    </w:rPr>
  </w:style>
  <w:style w:type="paragraph" w:styleId="Legenda">
    <w:name w:val="caption"/>
    <w:basedOn w:val="Normalny"/>
    <w:next w:val="Normalny"/>
    <w:uiPriority w:val="99"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07C"/>
    <w:rPr>
      <w:rFonts w:ascii="Calibri Light" w:hAnsi="Calibri Light" w:cs="Times New Roman"/>
      <w:caps/>
      <w:color w:val="92278F"/>
      <w:spacing w:val="10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007C"/>
    <w:rPr>
      <w:rFonts w:cs="Times New Roman"/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99"/>
    <w:qFormat/>
    <w:rsid w:val="0089007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9007C"/>
    <w:rPr>
      <w:rFonts w:cs="Times New Roman"/>
      <w:caps/>
      <w:color w:val="481346"/>
      <w:spacing w:val="5"/>
    </w:rPr>
  </w:style>
  <w:style w:type="paragraph" w:styleId="Bezodstpw">
    <w:name w:val="No Spacing"/>
    <w:uiPriority w:val="99"/>
    <w:qFormat/>
    <w:rsid w:val="0089007C"/>
    <w:pPr>
      <w:spacing w:before="100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9007C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9007C"/>
    <w:rPr>
      <w:rFonts w:cs="Times New Roman"/>
      <w:color w:val="92278F"/>
      <w:sz w:val="24"/>
    </w:rPr>
  </w:style>
  <w:style w:type="character" w:styleId="Wyrnieniedelikatne">
    <w:name w:val="Subtle Emphasis"/>
    <w:basedOn w:val="Domylnaczcionkaakapitu"/>
    <w:uiPriority w:val="99"/>
    <w:qFormat/>
    <w:rsid w:val="0089007C"/>
    <w:rPr>
      <w:rFonts w:cs="Times New Roman"/>
      <w:i/>
      <w:color w:val="481346"/>
    </w:rPr>
  </w:style>
  <w:style w:type="character" w:styleId="Wyrnienieintensywne">
    <w:name w:val="Intense Emphasis"/>
    <w:basedOn w:val="Domylnaczcionkaakapitu"/>
    <w:uiPriority w:val="99"/>
    <w:qFormat/>
    <w:rsid w:val="0089007C"/>
    <w:rPr>
      <w:rFonts w:cs="Times New Roman"/>
      <w:b/>
      <w:caps/>
      <w:color w:val="481346"/>
      <w:spacing w:val="10"/>
    </w:rPr>
  </w:style>
  <w:style w:type="character" w:styleId="Odwoaniedelikatne">
    <w:name w:val="Subtle Reference"/>
    <w:basedOn w:val="Domylnaczcionkaakapitu"/>
    <w:uiPriority w:val="99"/>
    <w:qFormat/>
    <w:rsid w:val="0089007C"/>
    <w:rPr>
      <w:rFonts w:cs="Times New Roman"/>
      <w:b/>
      <w:color w:val="92278F"/>
    </w:rPr>
  </w:style>
  <w:style w:type="character" w:styleId="Odwoanieintensywne">
    <w:name w:val="Intense Reference"/>
    <w:basedOn w:val="Domylnaczcionkaakapitu"/>
    <w:uiPriority w:val="99"/>
    <w:qFormat/>
    <w:rsid w:val="0089007C"/>
    <w:rPr>
      <w:rFonts w:cs="Times New Roman"/>
      <w:b/>
      <w:i/>
      <w:caps/>
      <w:color w:val="92278F"/>
    </w:rPr>
  </w:style>
  <w:style w:type="character" w:styleId="Tytuksiki">
    <w:name w:val="Book Title"/>
    <w:basedOn w:val="Domylnaczcionkaakapitu"/>
    <w:uiPriority w:val="99"/>
    <w:qFormat/>
    <w:rsid w:val="0089007C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4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46E8"/>
    <w:rPr>
      <w:rFonts w:cs="Times New Roman"/>
    </w:rPr>
  </w:style>
  <w:style w:type="paragraph" w:styleId="Poprawka">
    <w:name w:val="Revision"/>
    <w:hidden/>
    <w:uiPriority w:val="99"/>
    <w:semiHidden/>
    <w:rsid w:val="003E0149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D0AA1"/>
    <w:pPr>
      <w:spacing w:before="0"/>
      <w:ind w:left="720"/>
      <w:contextualSpacing/>
    </w:pPr>
    <w:rPr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051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2051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CF5149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locked/>
    <w:rsid w:val="00BD01F4"/>
    <w:rPr>
      <w:rFonts w:ascii="Times New Roman" w:hAnsi="Times New Roman"/>
    </w:rPr>
  </w:style>
  <w:style w:type="character" w:customStyle="1" w:styleId="IGindeksgrny">
    <w:name w:val="_IG_ – indeks górny"/>
    <w:uiPriority w:val="99"/>
    <w:rsid w:val="005D5CB4"/>
    <w:rPr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rsid w:val="008406F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71492D"/>
    <w:rPr>
      <w:rFonts w:eastAsia="Times New Roman"/>
      <w:sz w:val="22"/>
      <w:lang w:eastAsia="en-US"/>
    </w:rPr>
  </w:style>
  <w:style w:type="character" w:customStyle="1" w:styleId="h11">
    <w:name w:val="h11"/>
    <w:uiPriority w:val="99"/>
    <w:rsid w:val="003C65F3"/>
    <w:rPr>
      <w:rFonts w:ascii="Verdana" w:hAnsi="Verdana"/>
      <w:b/>
      <w:sz w:val="23"/>
    </w:rPr>
  </w:style>
  <w:style w:type="character" w:customStyle="1" w:styleId="apple-converted-space">
    <w:name w:val="apple-converted-space"/>
    <w:basedOn w:val="Domylnaczcionkaakapitu"/>
    <w:uiPriority w:val="99"/>
    <w:rsid w:val="003C65F3"/>
    <w:rPr>
      <w:rFonts w:cs="Times New Roman"/>
    </w:rPr>
  </w:style>
  <w:style w:type="character" w:customStyle="1" w:styleId="Ppogrubienie">
    <w:name w:val="_P_ – pogrubienie"/>
    <w:uiPriority w:val="99"/>
    <w:rsid w:val="00DE5A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3036</Words>
  <Characters>20191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Operacyjny Inteligentny Rozwój 2014 - 2020</vt:lpstr>
    </vt:vector>
  </TitlesOfParts>
  <Company>MRR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Operacyjny Inteligentny Rozwój 2014 - 2020</dc:title>
  <dc:creator>Tomasz Dec</dc:creator>
  <cp:lastModifiedBy>Wąsikowska Anna</cp:lastModifiedBy>
  <cp:revision>20</cp:revision>
  <cp:lastPrinted>2015-10-13T13:30:00Z</cp:lastPrinted>
  <dcterms:created xsi:type="dcterms:W3CDTF">2015-11-12T11:56:00Z</dcterms:created>
  <dcterms:modified xsi:type="dcterms:W3CDTF">2015-11-18T12:47:00Z</dcterms:modified>
</cp:coreProperties>
</file>