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AA226" w14:textId="68AC472C" w:rsidR="001B2BD6" w:rsidRPr="001B2BD6" w:rsidRDefault="001B2BD6">
      <w:pPr>
        <w:pStyle w:val="Nagwek2"/>
        <w:rPr>
          <w:rFonts w:ascii="Times New Roman" w:eastAsia="Times New Roman" w:hAnsi="Times New Roman" w:cs="Times New Roman"/>
          <w:b/>
          <w:sz w:val="36"/>
          <w:u w:val="single"/>
        </w:rPr>
      </w:pPr>
      <w:bookmarkStart w:id="0" w:name="_d7jilsbpnx7m" w:colFirst="0" w:colLast="0"/>
      <w:bookmarkEnd w:id="0"/>
      <w:r w:rsidRPr="001B2BD6">
        <w:rPr>
          <w:rFonts w:ascii="Times New Roman" w:hAnsi="Times New Roman" w:cs="Times New Roman"/>
          <w:b/>
          <w:sz w:val="36"/>
        </w:rPr>
        <w:t xml:space="preserve">Kryteria wyboru projektów w ramach pilotażu Elektro </w:t>
      </w:r>
      <w:proofErr w:type="spellStart"/>
      <w:r w:rsidR="00D50DE1">
        <w:rPr>
          <w:rFonts w:ascii="Times New Roman" w:hAnsi="Times New Roman" w:cs="Times New Roman"/>
          <w:b/>
          <w:sz w:val="36"/>
        </w:rPr>
        <w:t>ScaleUp</w:t>
      </w:r>
      <w:proofErr w:type="spellEnd"/>
    </w:p>
    <w:p w14:paraId="74B58E23" w14:textId="77777777" w:rsidR="00BD44D0" w:rsidRPr="001B2BD6" w:rsidRDefault="00884BCE">
      <w:pPr>
        <w:pStyle w:val="Nagwek2"/>
        <w:rPr>
          <w:rFonts w:ascii="Times New Roman" w:eastAsia="Times New Roman" w:hAnsi="Times New Roman" w:cs="Times New Roman"/>
          <w:sz w:val="28"/>
          <w:u w:val="single"/>
        </w:rPr>
      </w:pPr>
      <w:r w:rsidRPr="001B2BD6">
        <w:rPr>
          <w:rFonts w:ascii="Times New Roman" w:eastAsia="Times New Roman" w:hAnsi="Times New Roman" w:cs="Times New Roman"/>
          <w:sz w:val="28"/>
          <w:u w:val="single"/>
        </w:rPr>
        <w:t>Kryteria dostępu (0-1, wymagane spełnienie wszystkich kryteriów)</w:t>
      </w:r>
    </w:p>
    <w:tbl>
      <w:tblPr>
        <w:tblStyle w:val="a"/>
        <w:tblW w:w="1402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6"/>
        <w:gridCol w:w="7229"/>
        <w:gridCol w:w="1985"/>
        <w:gridCol w:w="1134"/>
      </w:tblGrid>
      <w:tr w:rsidR="00BD44D0" w14:paraId="7B2BB4AD" w14:textId="77777777" w:rsidTr="007E4D74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DCBD8" w14:textId="77777777" w:rsidR="00BD44D0" w:rsidRDefault="00884B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Kryterium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1F01E" w14:textId="77777777" w:rsidR="00BD44D0" w:rsidRDefault="00884B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Opis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56FC9" w14:textId="77777777" w:rsidR="00BD44D0" w:rsidRDefault="00884B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Punkty do zdobycia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E5766" w14:textId="77777777" w:rsidR="00BD44D0" w:rsidRDefault="00884B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Minimum</w:t>
            </w:r>
          </w:p>
        </w:tc>
      </w:tr>
      <w:tr w:rsidR="00BD44D0" w14:paraId="751F2438" w14:textId="77777777" w:rsidTr="007E4D74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F3BC5" w14:textId="087BEE4B" w:rsidR="00BD44D0" w:rsidRPr="007E4D74" w:rsidRDefault="00884BCE" w:rsidP="007E4D74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KD1: </w:t>
            </w:r>
            <w:r w:rsidR="00982842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Wnioskodawca w odpowiedzi na ogłoszony przez Agencję </w:t>
            </w:r>
            <w:r w:rsidR="002F3948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nabór </w:t>
            </w:r>
            <w:r w:rsidR="00982842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złożył zgodnie z regulaminem przeprowadzania </w:t>
            </w:r>
            <w:r w:rsidR="00A346F7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naboru </w:t>
            </w:r>
            <w:r w:rsidR="00982842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wniosek o powierzenie grantu</w:t>
            </w:r>
            <w:r w:rsidR="00A346F7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(dalej: wniosek)</w:t>
            </w:r>
            <w:r w:rsidR="00982842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4D634" w14:textId="495CF61F" w:rsidR="00BD44D0" w:rsidRPr="007E4D74" w:rsidRDefault="00884BCE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Wnioskodawca złożył </w:t>
            </w:r>
            <w:r w:rsidR="00565ECA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wniosek 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wypełnion</w:t>
            </w:r>
            <w:r w:rsidR="00565ECA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zgodnie z regulaminem </w:t>
            </w:r>
            <w:r w:rsidR="002F3948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naboru 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oraz instrukcją wypełniania wniosku </w:t>
            </w:r>
            <w:r w:rsidR="00565ECA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(załącznik n</w:t>
            </w:r>
            <w:r w:rsidR="007E4D74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r 4</w:t>
            </w:r>
            <w:r w:rsidR="00565ECA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regulaminu</w:t>
            </w:r>
            <w:r w:rsidR="007E4D74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F3948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naboru</w:t>
            </w:r>
            <w:r w:rsidR="00565ECA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sposób pozwalający na dokonanie </w:t>
            </w:r>
            <w:r w:rsidR="00F94F53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jego 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oceny zgodnie z kryteriami</w:t>
            </w:r>
            <w:r w:rsidR="002F3948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A3002" w14:textId="77777777" w:rsidR="00BD44D0" w:rsidRDefault="00884B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06929" w14:textId="77777777" w:rsidR="00BD44D0" w:rsidRDefault="00884B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44D0" w14:paraId="36FBBD5D" w14:textId="77777777" w:rsidTr="007E4D74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D6421" w14:textId="1C51A36F" w:rsidR="00BD44D0" w:rsidRPr="007E4D74" w:rsidRDefault="00884BCE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KD2: Wnioskodawca posiada doświadczenie w działalności na rzecz rozwoju startupów oraz prowadzi działalność na rzecz startupów przez co najmniej 3 lata poprzedzające dzień ogłoszenia </w:t>
            </w:r>
            <w:r w:rsidR="00A346F7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naboru</w:t>
            </w:r>
            <w:r w:rsidR="00F94F53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C2766" w14:textId="7773F26B" w:rsidR="00BD44D0" w:rsidRPr="007E4D74" w:rsidRDefault="00A346F7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Na podstawie informacji przedstawionych we wniosku weryfikacji podlega, czy Wnioskodawca, jako podmiot, prowadził przez okres co najmniej 3 lat przed dniem ogłoszenia naboru, działalność na rzecz startupów polegającą na wspieraniu ich rozwoju.</w:t>
            </w:r>
          </w:p>
          <w:p w14:paraId="0C2035EC" w14:textId="4E2B54F1" w:rsidR="00BD44D0" w:rsidRPr="007E4D74" w:rsidRDefault="00884BCE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Kryterium weryfik</w:t>
            </w:r>
            <w:r w:rsidR="0083316A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owane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3316A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jest 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podstawie informacji umieszczonych </w:t>
            </w:r>
            <w:r w:rsidR="00ED05C9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tabeli 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ze wzorem stanowiącym załącznik</w:t>
            </w:r>
            <w:r w:rsidR="00DA64A7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nr </w:t>
            </w:r>
            <w:r w:rsidR="007E4D74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wniosku. </w:t>
            </w:r>
          </w:p>
          <w:p w14:paraId="4AC1453F" w14:textId="77777777" w:rsidR="00BD44D0" w:rsidRPr="007E4D74" w:rsidRDefault="00BD44D0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8A69A9" w14:textId="0BB965B7" w:rsidR="00BD44D0" w:rsidRPr="007E4D74" w:rsidRDefault="00884BCE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Za powyższe usługi nie uznaje się</w:t>
            </w:r>
            <w:r w:rsidR="00DD0407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pojedynczych usług 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20046831" w14:textId="627FCE08" w:rsidR="00BD44D0" w:rsidRPr="007E4D74" w:rsidRDefault="00517581" w:rsidP="007E4D7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884BCE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ozyskiwania dofinansowania unijnego,</w:t>
            </w:r>
          </w:p>
          <w:p w14:paraId="641DD393" w14:textId="5C0FFDB8" w:rsidR="00BD44D0" w:rsidRPr="007E4D74" w:rsidRDefault="00517581" w:rsidP="007E4D7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884BCE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ynajmu powierzchni biurowej,</w:t>
            </w:r>
          </w:p>
          <w:p w14:paraId="674A9BF2" w14:textId="6C855C80" w:rsidR="00BD44D0" w:rsidRPr="007E4D74" w:rsidRDefault="00517581" w:rsidP="007E4D7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884BCE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rganizacji wydarzeń i konferencji,</w:t>
            </w:r>
          </w:p>
          <w:p w14:paraId="344D822F" w14:textId="533A807A" w:rsidR="00BD44D0" w:rsidRPr="007E4D74" w:rsidRDefault="00517581" w:rsidP="007E4D74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884BCE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rowadzenia szkoleń niezwiązanych z rozwojem biznesu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814CD" w14:textId="77777777" w:rsidR="00BD44D0" w:rsidRDefault="00884B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2BA24" w14:textId="77777777" w:rsidR="00BD44D0" w:rsidRDefault="00884B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44D0" w14:paraId="3F6C13DF" w14:textId="77777777" w:rsidTr="007E4D74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C5ACB" w14:textId="7A97FF83" w:rsidR="00BD44D0" w:rsidRPr="007E4D74" w:rsidRDefault="00884BCE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KD3: Wnioskodawca zrealizował co najmniej 1 program akceleracyjny</w:t>
            </w:r>
            <w:r w:rsidR="00E22235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41EEB" w14:textId="5962BBC2" w:rsidR="00BD44D0" w:rsidRPr="007E4D74" w:rsidRDefault="00DD4B1A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Na podstawie informacji przedstawionych we wniosku weryfikacji podlega,</w:t>
            </w:r>
            <w:r w:rsidR="00884BCE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czy Wnioskodawca, jako podmiot, zrealizował wcześniej program akceleracyjny.</w:t>
            </w:r>
          </w:p>
          <w:p w14:paraId="7D332344" w14:textId="77777777" w:rsidR="00BD44D0" w:rsidRPr="007E4D74" w:rsidRDefault="00BD44D0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DCD852" w14:textId="77777777" w:rsidR="00BD44D0" w:rsidRPr="007E4D74" w:rsidRDefault="00884BCE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Za realizację programu nie uznaje się podwykonawstwa lub realizacji części usług w ramach programu.</w:t>
            </w:r>
          </w:p>
          <w:p w14:paraId="0C639BEE" w14:textId="77777777" w:rsidR="00BD44D0" w:rsidRPr="007E4D74" w:rsidRDefault="00BD44D0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61C0A4" w14:textId="77777777" w:rsidR="00BD44D0" w:rsidRPr="007E4D74" w:rsidRDefault="00884BCE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 program akceleracyjny uznaje się dedykowany startupom, składający się z 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trwających/ej nie dłużej niż 6 miesięcy rund/y, sformalizowany proces identyfikacji potrzeb biznesowych oraz odpowiedzi na nie poprzez indywidualne podejście i świadczenie usług mających na celu zdynamizowanie rozwoju startupu. W ramach tego procesu wyróżnia się takie obszary, jak: identyfikacja potrzeb, biznesowe usługi </w:t>
            </w:r>
            <w:proofErr w:type="spellStart"/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mentoringowe</w:t>
            </w:r>
            <w:proofErr w:type="spellEnd"/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usługi w zakresie technologicznym, wsparcie w poszukiwaniu finansowania, promocja. </w:t>
            </w:r>
          </w:p>
          <w:p w14:paraId="152842D9" w14:textId="77777777" w:rsidR="00BD44D0" w:rsidRPr="007E4D74" w:rsidRDefault="00BD44D0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994E8E" w14:textId="36098D33" w:rsidR="00BD44D0" w:rsidRPr="007E4D74" w:rsidRDefault="00EB72E2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Kryterium oceniane jest w oparciu o załącznik nr 4 do wniosku – załączony regulamin zrealizowanego programu </w:t>
            </w:r>
            <w:r w:rsidR="00884BCE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akceleracyjnego.</w:t>
            </w:r>
          </w:p>
          <w:p w14:paraId="4867819D" w14:textId="77777777" w:rsidR="00BD44D0" w:rsidRPr="007E4D74" w:rsidRDefault="00BD44D0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E450AE" w14:textId="23E3EB92" w:rsidR="00BD44D0" w:rsidRPr="007E4D74" w:rsidRDefault="00884BCE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Za program akceleracyjny nie uznaje się inkubowania pomysłów</w:t>
            </w:r>
            <w:r w:rsidR="00EB72E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tj.</w:t>
            </w:r>
            <w:r w:rsidR="00622ACB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wsparcia początkującego przedsiębiorcy i procesu tworzenia nowej firmy od pomysłu do momentu rejestracji i rozpoczęcia działalności gospodarczej i świadczenia usług podstawowych (wynajem powierzchni, usługi księgowe</w:t>
            </w:r>
            <w:r w:rsidR="00EB72E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itp.).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80B96" w14:textId="490F6F4F" w:rsidR="00BD44D0" w:rsidRDefault="00884BCE" w:rsidP="00E2223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0-1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1544E" w14:textId="77777777" w:rsidR="00BD44D0" w:rsidRDefault="00884B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44D0" w14:paraId="6C6F0687" w14:textId="77777777" w:rsidTr="007E4D74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1C31" w14:textId="6F099857" w:rsidR="00BD44D0" w:rsidRPr="007E4D74" w:rsidRDefault="00884BCE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KD4: </w:t>
            </w:r>
            <w:r w:rsidR="00DD0407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Wnioskodawca we wniosku przedstawił program akceleracji dla co najmniej 3 obszarów wskazanych w definicji </w:t>
            </w:r>
            <w:proofErr w:type="spellStart"/>
            <w:r w:rsidR="00DD0407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elektromobilności</w:t>
            </w:r>
            <w:proofErr w:type="spellEnd"/>
            <w:r w:rsidR="00DD0407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Regulaminie </w:t>
            </w:r>
            <w:r w:rsidR="00027734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nabor</w:t>
            </w:r>
            <w:r w:rsidR="00DD0407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u.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92ADA" w14:textId="277AA7B5" w:rsidR="00BD44D0" w:rsidRPr="007E4D74" w:rsidRDefault="00DD0407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podstawie informacji przedstawionych we wniosku weryfikacji podlegać będzie, czy wnioskodawca przedstawił program akceleracji dla co najmniej 3 obszarów wskazanych w definicji </w:t>
            </w:r>
            <w:proofErr w:type="spellStart"/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elektromobilności</w:t>
            </w:r>
            <w:proofErr w:type="spellEnd"/>
            <w:r w:rsidR="00027734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Regulaminie naboru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F33C892" w14:textId="77777777" w:rsidR="00D22C7D" w:rsidRPr="007E4D74" w:rsidRDefault="00D22C7D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9D56E6" w14:textId="0AC5CAE0" w:rsidR="00695B19" w:rsidRPr="007E4D74" w:rsidRDefault="00695B19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B79E4" w14:textId="77777777" w:rsidR="00BD44D0" w:rsidRDefault="00884B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FEC7A" w14:textId="77777777" w:rsidR="00BD44D0" w:rsidRDefault="00884B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7CBFFD8D" w14:textId="77777777" w:rsidR="00BD44D0" w:rsidRDefault="00BD44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4D0" w14:paraId="5257821D" w14:textId="77777777" w:rsidTr="007E4D74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A5011" w14:textId="4DC62DD0" w:rsidR="00BD44D0" w:rsidRPr="007E4D74" w:rsidRDefault="00884BCE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KD5: Czas trwania Programu akceleracyjnego przedstawionego w</w:t>
            </w:r>
            <w:r w:rsidR="00BD423F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7E4D74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D423F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wniosku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(okres realizacji projektu) nie przekracza 2 lat a sam program rozpocznie się w </w:t>
            </w:r>
            <w:r w:rsidR="00373AC8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kwartale 2018 r.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D54E6" w14:textId="386884B9" w:rsidR="00E24EF7" w:rsidRPr="007E4D74" w:rsidRDefault="00E24EF7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Na podstawie informa</w:t>
            </w:r>
            <w:r w:rsidR="00027734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cji przedstawionych we wniosku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ocenie podlega czy okres realizacji </w:t>
            </w:r>
            <w:r w:rsidR="00EB72E2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rogramu </w:t>
            </w:r>
            <w:r w:rsidR="00EB72E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kceleracji </w:t>
            </w:r>
            <w:proofErr w:type="spellStart"/>
            <w:r w:rsidR="00EB72E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lektromobilności</w:t>
            </w:r>
            <w:proofErr w:type="spellEnd"/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 przekracza 2 lat, rozpocznie się w I kwartale 2018 r. oraz czy rozpoczęcie fazy </w:t>
            </w:r>
            <w:proofErr w:type="spellStart"/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netw</w:t>
            </w:r>
            <w:r w:rsidR="00027734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orkingu</w:t>
            </w:r>
            <w:proofErr w:type="spellEnd"/>
            <w:r w:rsidR="00027734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pozyskiwania odbiorców technologii </w:t>
            </w:r>
            <w:r w:rsidR="00027734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zostało zaplanowane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I kwartał 2018 r .</w:t>
            </w:r>
          </w:p>
          <w:p w14:paraId="75BE9316" w14:textId="2E186F97" w:rsidR="00BD44D0" w:rsidRPr="007E4D74" w:rsidRDefault="00BD44D0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D9706" w14:textId="77777777" w:rsidR="00BD44D0" w:rsidRDefault="00884B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7878A" w14:textId="77777777" w:rsidR="00BD44D0" w:rsidRDefault="00884B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44D0" w14:paraId="682D8BDF" w14:textId="77777777" w:rsidTr="007E4D74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7693B" w14:textId="77777777" w:rsidR="00BD44D0" w:rsidRPr="007E4D74" w:rsidRDefault="00884BCE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KD6: Budżet projektu finansowany ze środków PARP nie przekracza 10 milionów zł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CB5FB" w14:textId="0D0833AE" w:rsidR="00BD44D0" w:rsidRPr="007E4D74" w:rsidRDefault="00E24EF7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W kryterium tym ocenie podlega, czy wskazana we wniosku o powierzenie</w:t>
            </w:r>
            <w:r w:rsidR="00027734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grantu, kwota dofinansowania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B72E2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rogram</w:t>
            </w:r>
            <w:r w:rsidR="00027734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B72E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kceleracji </w:t>
            </w:r>
            <w:proofErr w:type="spellStart"/>
            <w:r w:rsidR="00EB72E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lektromobilności</w:t>
            </w:r>
            <w:proofErr w:type="spellEnd"/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ze środków publicznych nie przekracza 10 milionów zł.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E24D8" w14:textId="77777777" w:rsidR="00BD44D0" w:rsidRDefault="00884B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847F5" w14:textId="77777777" w:rsidR="00BD44D0" w:rsidRDefault="00884B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44D0" w14:paraId="2BAD02E0" w14:textId="77777777" w:rsidTr="007E4D74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BCC3E" w14:textId="3FAA006C" w:rsidR="00BD44D0" w:rsidRPr="007E4D74" w:rsidRDefault="00884BCE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KD7: Budżet</w:t>
            </w:r>
            <w:r w:rsidR="00E24EF7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projektu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uwzględnia finansowanie co najmniej 50% kosztów operacyjnych akceleratora ze środków pozyskanych od potencjalnych odbiorców 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technologii, przy czym finansowanie ze środków PARP na pokrycie kosztów operacyjnych wynosi maksymalnie 1 milion zł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74561" w14:textId="12BA87F4" w:rsidR="00BD44D0" w:rsidRPr="007E4D74" w:rsidRDefault="00884BCE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Wnioskodawca w</w:t>
            </w:r>
            <w:r w:rsidR="00BD423F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e wniosku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, w części budżetowej, założył finansowanie co najmniej 50% kosztów operacyjnych akceleratora ze środków pozyskanych od potencjalnych odbiorców technologii. Budżet musi także uwzględniać limit finansowania ze środków PARP na pokrycie kosztów operacyjnych w wysokości maksymalnie 1 milion zł</w:t>
            </w:r>
            <w:r w:rsidR="00982842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82842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wskazany w Regulaminie naboru.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D98CA" w14:textId="77777777" w:rsidR="00BD44D0" w:rsidRDefault="00884B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0-1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B75A5" w14:textId="77777777" w:rsidR="00BD44D0" w:rsidRDefault="00884B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44D0" w14:paraId="38529B86" w14:textId="77777777" w:rsidTr="007E4D74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40D3D" w14:textId="77777777" w:rsidR="00BD44D0" w:rsidRPr="007E4D74" w:rsidRDefault="00884BCE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KD8: Wnioskodawca wskazał źródła finansowe zapewniające płynność finansową w okresie realizacji programu akceleracyjnego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CAA09" w14:textId="6F162BF1" w:rsidR="00BD44D0" w:rsidRPr="007E4D74" w:rsidRDefault="00E24EF7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Weryfikacji będzie podlegał Plan finansowy </w:t>
            </w:r>
            <w:r w:rsidR="00027734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przedstawiony we wniosku 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27734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oraz jego zgodność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harmonogramem rzeczowo –finansowym projektu)</w:t>
            </w:r>
            <w:r w:rsidR="00884BCE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z którego wynika plan ponoszenia wydatków w całym okresie realizacji </w:t>
            </w:r>
            <w:r w:rsidR="00EB72E2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884BCE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rogramu </w:t>
            </w:r>
            <w:r w:rsidR="00EB72E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884BCE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kceleracji </w:t>
            </w:r>
            <w:proofErr w:type="spellStart"/>
            <w:r w:rsidR="00EB72E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884BCE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lektromobilności</w:t>
            </w:r>
            <w:proofErr w:type="spellEnd"/>
            <w:r w:rsidR="00884BCE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podziałem na poszczególne kategorie oraz w podziale na wkład z grantu oraz środki pozyskane od odbiorców technologii, a także zadeklarował dysponowanie środkami finansowymi umożliwiającymi płynność finansową</w:t>
            </w:r>
            <w:r w:rsidR="00982842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projektu</w:t>
            </w:r>
            <w:r w:rsidR="00EB7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B72E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884BCE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i  terminową realizację zadań biorąc pod uwagę zasady zaliczkowania projektu zgodnie z umową o dofinansowanie.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4030B" w14:textId="77777777" w:rsidR="00BD44D0" w:rsidRDefault="00884B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5ACC9" w14:textId="77777777" w:rsidR="00BD44D0" w:rsidRDefault="00884B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44D0" w14:paraId="4DCB67C5" w14:textId="77777777" w:rsidTr="007E4D74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52AF0" w14:textId="39310A2C" w:rsidR="00BD44D0" w:rsidRPr="007E4D74" w:rsidRDefault="00884BCE" w:rsidP="007E4D74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KD9: Wnioskodawca zamierza </w:t>
            </w:r>
            <w:proofErr w:type="spellStart"/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wyakcelerować</w:t>
            </w:r>
            <w:proofErr w:type="spellEnd"/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 najmniej </w:t>
            </w:r>
            <w:r w:rsidR="00BD423F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podmiotów.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6F6C4" w14:textId="4D1DC1E0" w:rsidR="00BD44D0" w:rsidRDefault="00884BCE" w:rsidP="007E4D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Wnioskodawca w</w:t>
            </w:r>
            <w:r w:rsidR="00BD423F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e wniosku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zaproponował </w:t>
            </w:r>
            <w:r w:rsidR="00EB72E2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rogram </w:t>
            </w:r>
            <w:r w:rsidR="00EB72E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kceleracji </w:t>
            </w:r>
            <w:proofErr w:type="spellStart"/>
            <w:r w:rsidR="00EB72E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lektromobilności</w:t>
            </w:r>
            <w:proofErr w:type="spellEnd"/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który ukończy co najmniej </w:t>
            </w:r>
            <w:r w:rsidR="00BD423F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startupów.</w:t>
            </w:r>
          </w:p>
          <w:p w14:paraId="30ED0910" w14:textId="178CEED0" w:rsidR="00EB72E2" w:rsidRPr="007E4D74" w:rsidRDefault="00EB72E2" w:rsidP="007E4D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Kryterium oceniane w oparciu o </w:t>
            </w:r>
            <w:r w:rsidR="00A44AC1">
              <w:rPr>
                <w:rFonts w:ascii="Times New Roman" w:eastAsia="Times New Roman" w:hAnsi="Times New Roman" w:cs="Times New Roman"/>
                <w:sz w:val="20"/>
                <w:szCs w:val="20"/>
              </w:rPr>
              <w:t>wskaźnik produktu określony w pkt VII wniosku.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1766B" w14:textId="77777777" w:rsidR="00BD44D0" w:rsidRDefault="00884B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8A4E9" w14:textId="77777777" w:rsidR="00BD44D0" w:rsidRDefault="00884B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44D0" w14:paraId="349336F3" w14:textId="77777777" w:rsidTr="007E4D74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8C457" w14:textId="5D4EF8E3" w:rsidR="00BD44D0" w:rsidRPr="007E4D74" w:rsidRDefault="00884BCE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KD10: Wnioskodawca jako podmiot posiada doświadczenie w działalności w sektorze </w:t>
            </w:r>
            <w:proofErr w:type="spellStart"/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elektromobilności</w:t>
            </w:r>
            <w:proofErr w:type="spellEnd"/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pokrewnym 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0F3ED" w14:textId="77777777" w:rsidR="00BD44D0" w:rsidRPr="007E4D74" w:rsidRDefault="00884BCE" w:rsidP="007E4D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Wnioskodawca jako podmiot wpisuje się w co najmniej dwa z poniższych obszarów:</w:t>
            </w:r>
          </w:p>
          <w:p w14:paraId="174ABF64" w14:textId="77777777" w:rsidR="00BD44D0" w:rsidRPr="007E4D74" w:rsidRDefault="00884BCE" w:rsidP="007E4D74">
            <w:pPr>
              <w:numPr>
                <w:ilvl w:val="1"/>
                <w:numId w:val="2"/>
              </w:numPr>
              <w:spacing w:line="240" w:lineRule="auto"/>
              <w:ind w:left="570" w:hanging="4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posiada udokumentowaną współpracę z dużymi / średnimi podmiotami z sektora </w:t>
            </w:r>
            <w:proofErr w:type="spellStart"/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elektromobilności</w:t>
            </w:r>
            <w:proofErr w:type="spellEnd"/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, przemysłu samochodowego lub energetycznego,</w:t>
            </w:r>
          </w:p>
          <w:p w14:paraId="299D0F36" w14:textId="77777777" w:rsidR="00BD44D0" w:rsidRPr="007E4D74" w:rsidRDefault="00884BCE" w:rsidP="007E4D74">
            <w:pPr>
              <w:numPr>
                <w:ilvl w:val="1"/>
                <w:numId w:val="2"/>
              </w:numPr>
              <w:spacing w:line="240" w:lineRule="auto"/>
              <w:ind w:left="570" w:hanging="4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przeprowadził analizę rynku </w:t>
            </w:r>
            <w:proofErr w:type="spellStart"/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elektromobilności</w:t>
            </w:r>
            <w:proofErr w:type="spellEnd"/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załączył ją do oferty,</w:t>
            </w:r>
          </w:p>
          <w:p w14:paraId="095D40B8" w14:textId="77777777" w:rsidR="00BD44D0" w:rsidRPr="007E4D74" w:rsidRDefault="00884BCE" w:rsidP="007E4D74">
            <w:pPr>
              <w:numPr>
                <w:ilvl w:val="1"/>
                <w:numId w:val="2"/>
              </w:numPr>
              <w:spacing w:line="240" w:lineRule="auto"/>
              <w:ind w:left="570" w:hanging="4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współpracował ze startupami posiadającymi rozwiązania w obszarze </w:t>
            </w:r>
            <w:proofErr w:type="spellStart"/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elektromobilności</w:t>
            </w:r>
            <w:proofErr w:type="spellEnd"/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9888BDD" w14:textId="77777777" w:rsidR="00BD44D0" w:rsidRPr="007E4D74" w:rsidRDefault="00BD44D0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6A7FE4" w14:textId="09A37E54" w:rsidR="00BD44D0" w:rsidRPr="007E4D74" w:rsidRDefault="00884BCE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Kryterium oceniane jest w oparciu o załączone </w:t>
            </w:r>
            <w:r w:rsidR="00A44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wniosku 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dokumenty</w:t>
            </w:r>
            <w:r w:rsidR="00A44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(zał. nr 6 i 7) 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Tabelę</w:t>
            </w:r>
            <w:r w:rsidR="00A346F7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, stanowiącą załącznik nr</w:t>
            </w:r>
            <w:r w:rsidR="000E7FAD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  <w:r w:rsidR="00A346F7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wniosku.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9292B" w14:textId="77777777" w:rsidR="00BD44D0" w:rsidRDefault="00884B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D1A35" w14:textId="77777777" w:rsidR="00BD44D0" w:rsidRDefault="00884B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44D0" w14:paraId="1817B5E6" w14:textId="77777777" w:rsidTr="007E4D74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FDE00" w14:textId="4842B8BC" w:rsidR="00BD44D0" w:rsidRPr="007E4D74" w:rsidRDefault="00884BCE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KD11: Wnioskodawca zapewnia ochronę informacji poufnych wszystkich zaangażowanych</w:t>
            </w:r>
            <w:r w:rsidR="001D41DC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projek</w:t>
            </w:r>
            <w:r w:rsidR="0046236B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cie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stron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236F3" w14:textId="57CA20C8" w:rsidR="00A346F7" w:rsidRPr="007E4D74" w:rsidRDefault="00A346F7" w:rsidP="007E4D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Kryterium oceniane na podstawie założeń przedstawionych w załączonej do wniosku </w:t>
            </w:r>
            <w:r w:rsidR="0011413E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(zał. nr 8)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polityce zachowania poufności informacji przekazywanych przez wszystkie strony procesu akceleracji.</w:t>
            </w:r>
          </w:p>
          <w:p w14:paraId="0BE451B0" w14:textId="058A7A2C" w:rsidR="00BD44D0" w:rsidRPr="007E4D74" w:rsidRDefault="00BD44D0" w:rsidP="007E4D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E7C71" w14:textId="77777777" w:rsidR="00BD44D0" w:rsidRDefault="00884B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8DB09" w14:textId="77777777" w:rsidR="00BD44D0" w:rsidRDefault="00884B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44D0" w14:paraId="13E9EA7D" w14:textId="77777777" w:rsidTr="007E4D74">
        <w:trPr>
          <w:trHeight w:val="400"/>
        </w:trPr>
        <w:tc>
          <w:tcPr>
            <w:tcW w:w="109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9F2EC" w14:textId="77777777" w:rsidR="00BD44D0" w:rsidRDefault="00884BC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Suma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934AD" w14:textId="77777777" w:rsidR="00BD44D0" w:rsidRPr="001B2BD6" w:rsidRDefault="00884B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0-11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6D519" w14:textId="77777777" w:rsidR="00BD44D0" w:rsidRPr="001B2BD6" w:rsidRDefault="00884B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11</w:t>
            </w:r>
          </w:p>
        </w:tc>
      </w:tr>
    </w:tbl>
    <w:p w14:paraId="0C77CDB3" w14:textId="77777777" w:rsidR="00BD44D0" w:rsidRPr="001B2BD6" w:rsidRDefault="00884BCE">
      <w:pPr>
        <w:pStyle w:val="Nagwek2"/>
        <w:rPr>
          <w:rFonts w:ascii="Times New Roman" w:eastAsia="Times New Roman" w:hAnsi="Times New Roman" w:cs="Times New Roman"/>
          <w:sz w:val="28"/>
          <w:u w:val="single"/>
        </w:rPr>
      </w:pPr>
      <w:bookmarkStart w:id="1" w:name="_6ax9okmx10fh" w:colFirst="0" w:colLast="0"/>
      <w:bookmarkEnd w:id="1"/>
      <w:r w:rsidRPr="001B2BD6">
        <w:rPr>
          <w:rFonts w:ascii="Times New Roman" w:eastAsia="Times New Roman" w:hAnsi="Times New Roman" w:cs="Times New Roman"/>
          <w:sz w:val="28"/>
          <w:u w:val="single"/>
        </w:rPr>
        <w:lastRenderedPageBreak/>
        <w:t>Kryteria jakościowe</w:t>
      </w:r>
    </w:p>
    <w:p w14:paraId="6B1AF370" w14:textId="77777777" w:rsidR="00BD44D0" w:rsidRDefault="00BD44D0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1473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6"/>
        <w:gridCol w:w="7229"/>
        <w:gridCol w:w="1985"/>
        <w:gridCol w:w="1842"/>
      </w:tblGrid>
      <w:tr w:rsidR="00BD44D0" w14:paraId="3EA777B2" w14:textId="77777777" w:rsidTr="00FF4152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9FE5C" w14:textId="77777777" w:rsidR="00BD44D0" w:rsidRDefault="00884B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Kryterium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FCDD7" w14:textId="77777777" w:rsidR="00BD44D0" w:rsidRDefault="00884B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Opis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87059" w14:textId="77777777" w:rsidR="00BD44D0" w:rsidRDefault="00884B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Punkty do zdobycia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AC57E" w14:textId="6D33F90D" w:rsidR="00BD44D0" w:rsidRDefault="00884BCE" w:rsidP="00A44A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Minimum</w:t>
            </w:r>
            <w:r w:rsidR="00A44AC1">
              <w:rPr>
                <w:rFonts w:ascii="Times New Roman" w:eastAsia="Times New Roman" w:hAnsi="Times New Roman" w:cs="Times New Roman"/>
              </w:rPr>
              <w:t xml:space="preserve"> niezbędne do rekomendowania do wsparcia </w:t>
            </w:r>
          </w:p>
        </w:tc>
      </w:tr>
      <w:tr w:rsidR="00BD44D0" w14:paraId="61A4F3BA" w14:textId="77777777" w:rsidTr="00FF4152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7CA7F" w14:textId="7A85817D" w:rsidR="00BD44D0" w:rsidRPr="007E4D74" w:rsidRDefault="00884BCE" w:rsidP="007E4D74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KJ1: Wnioskodawca przedstawił w</w:t>
            </w:r>
            <w:r w:rsidR="00BD423F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e wniosku</w:t>
            </w:r>
            <w:r w:rsid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zespół gwarantujący prawidłową i efektywną realizację </w:t>
            </w:r>
            <w:r w:rsidR="00A44AC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rogramu </w:t>
            </w:r>
            <w:r w:rsidR="00A44AC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kceleracyjnego.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D5D13" w14:textId="5F6038F7" w:rsidR="0011413E" w:rsidRPr="007E4D74" w:rsidRDefault="00884BCE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Wnioskodawca przedstawił w</w:t>
            </w:r>
            <w:r w:rsidR="00BD423F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e wniosku</w:t>
            </w:r>
            <w:r w:rsidR="0011413E" w:rsidRPr="007E4D74">
              <w:t xml:space="preserve"> </w:t>
            </w:r>
            <w:r w:rsidR="0011413E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strukturę zespołu projektowego wraz z kadrą zarządzającą, zakresem obowiązków oraz wskazał</w:t>
            </w:r>
            <w:r w:rsidR="00504001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kompetencje</w:t>
            </w:r>
            <w:r w:rsidR="0011413E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osób wykonujących kluczowe procesy w projekcie</w:t>
            </w:r>
            <w:r w:rsidR="00504001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, np.:</w:t>
            </w:r>
          </w:p>
          <w:p w14:paraId="09A85B0B" w14:textId="77777777" w:rsidR="00BD44D0" w:rsidRPr="007E4D74" w:rsidRDefault="00884BCE" w:rsidP="007E4D7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Ekspertów technologicznych</w:t>
            </w:r>
          </w:p>
          <w:p w14:paraId="1AB96387" w14:textId="77777777" w:rsidR="00BD44D0" w:rsidRPr="007E4D74" w:rsidRDefault="00884BCE" w:rsidP="007E4D7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Mentorów biznesowych</w:t>
            </w:r>
          </w:p>
          <w:p w14:paraId="552C042A" w14:textId="02F80124" w:rsidR="00BD44D0" w:rsidRPr="007E4D74" w:rsidRDefault="00884BCE" w:rsidP="007E4D7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Opiekunów startupów</w:t>
            </w:r>
            <w:r w:rsidR="00695B19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(opiekunów partnerstw)</w:t>
            </w:r>
          </w:p>
          <w:p w14:paraId="14A89C19" w14:textId="77777777" w:rsidR="00BD44D0" w:rsidRPr="007E4D74" w:rsidRDefault="00884BCE" w:rsidP="007E4D7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Osoby zarządzające projektem</w:t>
            </w:r>
          </w:p>
          <w:p w14:paraId="23792095" w14:textId="77777777" w:rsidR="00BD44D0" w:rsidRPr="007E4D74" w:rsidRDefault="00884BCE" w:rsidP="007E4D7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Inne kluczowe role</w:t>
            </w:r>
          </w:p>
          <w:p w14:paraId="78E3C220" w14:textId="17D541DF" w:rsidR="00BD44D0" w:rsidRPr="007E4D74" w:rsidRDefault="009E22D6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884BCE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pis wskazanych osób powinien składać się z danych kontaktowych, krótkiego </w:t>
            </w:r>
            <w:proofErr w:type="spellStart"/>
            <w:r w:rsidR="00884BCE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bio</w:t>
            </w:r>
            <w:proofErr w:type="spellEnd"/>
            <w:r w:rsidR="00884BCE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504001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zawierającego </w:t>
            </w:r>
            <w:r w:rsidR="00884BCE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doświadczeni</w:t>
            </w:r>
            <w:r w:rsidR="00504001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884BCE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zawodowe oraz linku do profilu na portalu typu LinkedIn lub </w:t>
            </w:r>
            <w:proofErr w:type="spellStart"/>
            <w:r w:rsidR="00884BCE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Goldenline</w:t>
            </w:r>
            <w:proofErr w:type="spellEnd"/>
            <w:r w:rsidR="00884BCE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2CA4946" w14:textId="77777777" w:rsidR="00977AC1" w:rsidRPr="007E4D74" w:rsidRDefault="00977AC1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507C72" w14:textId="7DE659C3" w:rsidR="00977AC1" w:rsidRPr="007E4D74" w:rsidRDefault="00BD423F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Informacje we wniosku </w:t>
            </w:r>
            <w:r w:rsidR="00977AC1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powinn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977AC1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E08AC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zawierać</w:t>
            </w:r>
            <w:r w:rsidR="00A44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7AC1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maksymalną liczbę partnerst</w:t>
            </w:r>
            <w:r w:rsidR="008927A1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w koordynowanych przez jednego o</w:t>
            </w:r>
            <w:r w:rsidR="00977AC1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piekuna.  </w:t>
            </w:r>
          </w:p>
          <w:p w14:paraId="14E599E9" w14:textId="77777777" w:rsidR="00504001" w:rsidRPr="007E4D74" w:rsidRDefault="00504001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1AB5DA" w14:textId="6EC581E8" w:rsidR="00504001" w:rsidRDefault="00504001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Oceniający będą weryfikować, czy zaplanowana w projekcie struktura zespołu (kompetencje pracowników itp.) gwarantują prawidłową i efektywną realizację programu akceleracyjnego.</w:t>
            </w:r>
          </w:p>
          <w:p w14:paraId="25B47339" w14:textId="77777777" w:rsidR="002111C1" w:rsidRDefault="002111C1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B50D47" w14:textId="6F9BB3AD" w:rsidR="002111C1" w:rsidRPr="007E4D74" w:rsidRDefault="002111C1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Dla spełnienia przedmiotowego kryterium, w</w:t>
            </w:r>
            <w:r w:rsidRPr="0021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nioskodawca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dodatkowo powinien zapewnić </w:t>
            </w:r>
            <w:r w:rsidRPr="0021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udział eksperta technologicznego, niezależnego od odbiorców technologii,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11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obszaru </w:t>
            </w:r>
            <w:proofErr w:type="spellStart"/>
            <w:r w:rsidRPr="002111C1">
              <w:rPr>
                <w:rFonts w:ascii="Times New Roman" w:eastAsia="Times New Roman" w:hAnsi="Times New Roman" w:cs="Times New Roman"/>
                <w:sz w:val="20"/>
                <w:szCs w:val="20"/>
              </w:rPr>
              <w:t>elektromobilności</w:t>
            </w:r>
            <w:proofErr w:type="spellEnd"/>
            <w:r w:rsidRPr="002111C1">
              <w:rPr>
                <w:rFonts w:ascii="Times New Roman" w:eastAsia="Times New Roman" w:hAnsi="Times New Roman" w:cs="Times New Roman"/>
                <w:sz w:val="20"/>
                <w:szCs w:val="20"/>
              </w:rPr>
              <w:t>, w ocenie proje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któw wybieranych do akceleracji</w:t>
            </w:r>
            <w:r w:rsidRPr="002111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A36EFD3" w14:textId="77777777" w:rsidR="00504001" w:rsidRPr="007E4D74" w:rsidRDefault="00504001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5401DE" w14:textId="77777777" w:rsidR="00BD44D0" w:rsidRPr="007E4D74" w:rsidRDefault="00884BCE" w:rsidP="007E4D74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Calibri" w:eastAsia="Calibri" w:hAnsi="Calibri" w:cs="Calibri"/>
                <w:b/>
                <w:sz w:val="20"/>
                <w:szCs w:val="20"/>
              </w:rPr>
              <w:t>Sposób oceny kryterium:</w:t>
            </w:r>
          </w:p>
          <w:p w14:paraId="05D88169" w14:textId="72943A72" w:rsidR="00BD44D0" w:rsidRPr="007E4D74" w:rsidRDefault="00884BCE" w:rsidP="007E4D74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0. Niedostateczny. Projekt w niedostatecznym stopniu odpowiada na wymogi kryterium.</w:t>
            </w:r>
          </w:p>
          <w:p w14:paraId="5DE951DD" w14:textId="77777777" w:rsidR="00BD44D0" w:rsidRPr="007E4D74" w:rsidRDefault="00884BCE" w:rsidP="007E4D74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 Dobry. Projekt właściwie odpowiada na wymogi kryterium, ale zidentyfikowano istotne słabości.</w:t>
            </w:r>
          </w:p>
          <w:p w14:paraId="5AF67861" w14:textId="77777777" w:rsidR="00BD44D0" w:rsidRPr="007E4D74" w:rsidRDefault="00884BCE" w:rsidP="007E4D74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2. Bardzo dobry. Projekt odpowiada na wszystkie istotne wymogi kryterium. Zidentyfikowane słabości są nieistotne.</w:t>
            </w:r>
          </w:p>
          <w:p w14:paraId="3C750D10" w14:textId="77777777" w:rsidR="00BD44D0" w:rsidRPr="007E4D74" w:rsidRDefault="00884BCE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3. Doskonały. Projekt w nadzwyczajny sposób odpowiada na wymogi kryterium. Wprowadza nową jakość w podejściu do akceleracji.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2E0E6" w14:textId="77777777" w:rsidR="00BD44D0" w:rsidRDefault="00884B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0-3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AB956" w14:textId="77777777" w:rsidR="00BD44D0" w:rsidRDefault="00884B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44D0" w14:paraId="09E67DAB" w14:textId="77777777" w:rsidTr="00FF4152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71E75" w14:textId="3B930D51" w:rsidR="00BD44D0" w:rsidRPr="007E4D74" w:rsidRDefault="00884BCE" w:rsidP="007E4D74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KJ2: Wnioskodawca przedstawił spójną, logiczną i realną do wykonania </w:t>
            </w:r>
            <w:r w:rsidR="00982842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koncepcję 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zakresie programu akceleracyjnego 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839F5" w14:textId="00987A85" w:rsidR="00BD44D0" w:rsidRPr="007E4D74" w:rsidRDefault="00A225CE" w:rsidP="007E4D74">
            <w:pPr>
              <w:widowControl w:val="0"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W k</w:t>
            </w:r>
            <w:r w:rsidR="00884BCE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ryterium oceni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e podlega</w:t>
            </w:r>
            <w:r w:rsidR="00884BCE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zakres oraz jakość zaproponowanego </w:t>
            </w:r>
            <w:r w:rsidR="00C84831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programu</w:t>
            </w:r>
            <w:r w:rsidR="00884BCE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akceleracji, jego organizacji i zarządzania, w tym w szczególności:</w:t>
            </w:r>
          </w:p>
          <w:p w14:paraId="67644278" w14:textId="74A0EE2B" w:rsidR="00BD44D0" w:rsidRPr="007E4D74" w:rsidRDefault="00884BCE" w:rsidP="007E4D74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działania na rzecz startupów w ramach prowadzonego programu akceleracyjnego; </w:t>
            </w:r>
          </w:p>
          <w:p w14:paraId="0C56E6F7" w14:textId="77777777" w:rsidR="00BD44D0" w:rsidRPr="007E4D74" w:rsidRDefault="00884BCE" w:rsidP="007E4D74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- przyjęte metody akceleracji;</w:t>
            </w:r>
          </w:p>
          <w:p w14:paraId="7CE73E62" w14:textId="77777777" w:rsidR="00BD44D0" w:rsidRPr="007E4D74" w:rsidRDefault="00884BCE" w:rsidP="007E4D74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kluczowe etapy; </w:t>
            </w:r>
          </w:p>
          <w:p w14:paraId="4E513FB2" w14:textId="77777777" w:rsidR="00BD44D0" w:rsidRPr="007E4D74" w:rsidRDefault="00884BCE" w:rsidP="007E4D74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system oceny, selekcji i pracy z uczestnikami programu; </w:t>
            </w:r>
          </w:p>
          <w:p w14:paraId="1E056084" w14:textId="77777777" w:rsidR="00BD44D0" w:rsidRPr="007E4D74" w:rsidRDefault="00884BCE" w:rsidP="007E4D74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demo </w:t>
            </w:r>
            <w:proofErr w:type="spellStart"/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day</w:t>
            </w:r>
            <w:proofErr w:type="spellEnd"/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organizowany na zakończenie programu akceleracyjnego; </w:t>
            </w:r>
          </w:p>
          <w:p w14:paraId="4F545B0E" w14:textId="77777777" w:rsidR="00BD44D0" w:rsidRPr="007E4D74" w:rsidRDefault="00884BCE" w:rsidP="007E4D74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skład zespołu dokonującego wyboru uczestników; </w:t>
            </w:r>
          </w:p>
          <w:p w14:paraId="7235FD47" w14:textId="77777777" w:rsidR="00BD44D0" w:rsidRDefault="00884BCE" w:rsidP="007E4D74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- zidentyfikowane ryzyka oraz działania planowane do podjęcia/podjęte w celu ich minimalizacji;</w:t>
            </w:r>
          </w:p>
          <w:p w14:paraId="01188F04" w14:textId="3992C6A6" w:rsidR="00EE7A51" w:rsidRPr="007E4D74" w:rsidRDefault="00EE7A51" w:rsidP="007E4D74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założenia związane z osiągnięciem rezultatów programu (wdroże</w:t>
            </w:r>
            <w:r w:rsidR="001E2E42">
              <w:rPr>
                <w:rFonts w:ascii="Times New Roman" w:eastAsia="Times New Roman" w:hAnsi="Times New Roman" w:cs="Times New Roman"/>
                <w:sz w:val="20"/>
                <w:szCs w:val="20"/>
              </w:rPr>
              <w:t>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akcelerowanych rozwiązań). </w:t>
            </w:r>
          </w:p>
          <w:p w14:paraId="3D6D63BC" w14:textId="77777777" w:rsidR="00BD44D0" w:rsidRPr="007E4D74" w:rsidRDefault="00884BCE" w:rsidP="007E4D74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Calibri" w:eastAsia="Calibri" w:hAnsi="Calibri" w:cs="Calibri"/>
                <w:b/>
                <w:sz w:val="20"/>
                <w:szCs w:val="20"/>
              </w:rPr>
              <w:t>Sposób oceny kryterium:</w:t>
            </w:r>
          </w:p>
          <w:p w14:paraId="289800A9" w14:textId="5CDDEE1E" w:rsidR="00BD44D0" w:rsidRPr="007E4D74" w:rsidRDefault="00884BCE" w:rsidP="007E4D74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0. Niedostateczny. Projekt w niedostatecznym stopniu odpowiada na wymogi kryterium.</w:t>
            </w:r>
          </w:p>
          <w:p w14:paraId="6A5E134E" w14:textId="77777777" w:rsidR="00BD44D0" w:rsidRPr="007E4D74" w:rsidRDefault="00884BCE" w:rsidP="007E4D74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1. Dobry. Projekt właściwie odpowiada na wymogi kryterium, ale zidentyfikowano istotne słabości.</w:t>
            </w:r>
          </w:p>
          <w:p w14:paraId="36179537" w14:textId="77777777" w:rsidR="00BD44D0" w:rsidRPr="007E4D74" w:rsidRDefault="00884BCE" w:rsidP="007E4D74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2. Bardzo dobry. Projekt odpowiada na wszystkie istotne wymogi kryterium. Zidentyfikowane słabości są nieistotne.</w:t>
            </w:r>
          </w:p>
          <w:p w14:paraId="41C43ED0" w14:textId="77777777" w:rsidR="00BD44D0" w:rsidRPr="007E4D74" w:rsidRDefault="00884BCE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3. Doskonały. Projekt w nadzwyczajny sposób odpowiada na wymogi kryterium. Wprowadza nową jakość w podejściu do akceleracji.</w:t>
            </w:r>
          </w:p>
          <w:p w14:paraId="20AA979E" w14:textId="77777777" w:rsidR="00BD44D0" w:rsidRPr="007E4D74" w:rsidRDefault="00BD44D0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74B02" w14:textId="77777777" w:rsidR="00BD44D0" w:rsidRDefault="00884B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577ED" w14:textId="77777777" w:rsidR="00BD44D0" w:rsidRDefault="00884B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44D0" w14:paraId="63093B31" w14:textId="77777777" w:rsidTr="00FF4152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FAFEF" w14:textId="65E64E46" w:rsidR="00BD44D0" w:rsidRPr="007E4D74" w:rsidRDefault="00884BCE" w:rsidP="007E4D74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KJ3: Wnioskodawca w</w:t>
            </w:r>
            <w:r w:rsidR="00982842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e wniosku</w:t>
            </w:r>
            <w:r w:rsid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przedstawił efektywną koncepcję </w:t>
            </w:r>
            <w:proofErr w:type="spellStart"/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networkingu</w:t>
            </w:r>
            <w:proofErr w:type="spellEnd"/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która zapewni udział w programie wystarczającej liczbie startupów oraz potencjalnych odbiorców technologii 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D411C" w14:textId="77777777" w:rsidR="00BD44D0" w:rsidRPr="007E4D74" w:rsidRDefault="00884BCE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ramach kryterium ocenie podlega zaproponowana przez Wnioskodawcę koncepcja fazy </w:t>
            </w:r>
            <w:proofErr w:type="spellStart"/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networkingowej</w:t>
            </w:r>
            <w:proofErr w:type="spellEnd"/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skupiającej ekosystem branżowy oraz będącej środowiskiem do nawiązywania relacji i partnerstw. Ocenie podlegać będzie dokonane mapowanie interesariuszy sektora </w:t>
            </w:r>
            <w:proofErr w:type="spellStart"/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elektromobilności</w:t>
            </w:r>
            <w:proofErr w:type="spellEnd"/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zaproponowane narzędzia </w:t>
            </w:r>
            <w:proofErr w:type="spellStart"/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networkingowe</w:t>
            </w:r>
            <w:proofErr w:type="spellEnd"/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ich adekwatność do sektora oraz interesariuszy, kanały dotarcia do zainteresowanych podmiotów. Działania </w:t>
            </w:r>
            <w:proofErr w:type="spellStart"/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networkingowe</w:t>
            </w:r>
            <w:proofErr w:type="spellEnd"/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powinny mieć charakter ciągły, niezależny od trwania rund akceleracyjnych.</w:t>
            </w:r>
          </w:p>
          <w:p w14:paraId="4C77AE7B" w14:textId="77777777" w:rsidR="00BD44D0" w:rsidRPr="007E4D74" w:rsidRDefault="00BD44D0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6D8053" w14:textId="77777777" w:rsidR="00BD44D0" w:rsidRPr="007E4D74" w:rsidRDefault="00884BCE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Działania </w:t>
            </w:r>
            <w:proofErr w:type="spellStart"/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networkingowe</w:t>
            </w:r>
            <w:proofErr w:type="spellEnd"/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powinny zapewnić zarówno optymalną liczbę startupów uczestniczących w programie, jak i potencjalnych odbiorców technologii.</w:t>
            </w:r>
          </w:p>
          <w:p w14:paraId="6FE1D383" w14:textId="77777777" w:rsidR="008052F8" w:rsidRPr="007E4D74" w:rsidRDefault="008052F8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7C2C2B" w14:textId="75AC597C" w:rsidR="008052F8" w:rsidRPr="007E4D74" w:rsidRDefault="008052F8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Niezbędnym elementem do uznania kryterium za spełnione jest założenie w koncepcji przygotowania co najmniej 10 minutowego filmu na zakończenie </w:t>
            </w:r>
            <w:r w:rsidR="00D41DAE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projektu</w:t>
            </w:r>
            <w:r w:rsidR="00A44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prezentującego dobre praktyki i </w:t>
            </w:r>
            <w:r w:rsidR="00A44AC1"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success</w:t>
            </w:r>
            <w:proofErr w:type="spellEnd"/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stories</w:t>
            </w:r>
            <w:proofErr w:type="spellEnd"/>
            <w:r w:rsidR="00A44AC1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1E0A93F" w14:textId="77777777" w:rsidR="00BD44D0" w:rsidRPr="007E4D74" w:rsidRDefault="00BD44D0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C9BF76" w14:textId="77777777" w:rsidR="00BD44D0" w:rsidRPr="007E4D74" w:rsidRDefault="00884BCE" w:rsidP="007E4D74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Calibri" w:eastAsia="Calibri" w:hAnsi="Calibri" w:cs="Calibri"/>
                <w:b/>
                <w:sz w:val="20"/>
                <w:szCs w:val="20"/>
              </w:rPr>
              <w:t>Sposób oceny kryterium:</w:t>
            </w:r>
          </w:p>
          <w:p w14:paraId="00C2E917" w14:textId="2787B239" w:rsidR="00BD44D0" w:rsidRPr="007E4D74" w:rsidRDefault="00884BCE" w:rsidP="007E4D74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0. Niedostateczny. Projekt w niedostatecznym stopniu odpowiada na wymogi kryterium.</w:t>
            </w:r>
          </w:p>
          <w:p w14:paraId="5074B4F4" w14:textId="77777777" w:rsidR="00BD44D0" w:rsidRPr="007E4D74" w:rsidRDefault="00884BCE" w:rsidP="007E4D74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1. Dobry. Projekt właściwie odpowiada na wymogi kryterium, ale zidentyfikowano istotne słabości.</w:t>
            </w:r>
          </w:p>
          <w:p w14:paraId="284EC4D1" w14:textId="77777777" w:rsidR="00BD44D0" w:rsidRPr="007E4D74" w:rsidRDefault="00884BCE" w:rsidP="007E4D74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2. Bardzo dobry. Projekt odpowiada na wszystkie istotne wymogi kryterium. Zidentyfikowane słabości są nieistotne.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15280" w14:textId="77777777" w:rsidR="00BD44D0" w:rsidRDefault="00884B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0-2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6EAC5" w14:textId="77777777" w:rsidR="00BD44D0" w:rsidRDefault="00884B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44D0" w14:paraId="51C80FE1" w14:textId="77777777" w:rsidTr="00FF4152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0A668" w14:textId="6FF1DAE3" w:rsidR="00BD44D0" w:rsidRPr="007E4D74" w:rsidRDefault="00884BCE" w:rsidP="007E4D74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KJ4:</w:t>
            </w:r>
            <w:r w:rsidR="00C84831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Wnioskodawca przedstawił we wniosku </w:t>
            </w:r>
            <w:r w:rsidR="00E11A15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fert</w:t>
            </w:r>
            <w:r w:rsidR="00C84831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ę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84831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skierowaną do potencjalnych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odbiorców technologii, stanowiącą zachętę do ich rzeczowego </w:t>
            </w:r>
            <w:r w:rsidR="00A44A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finansowego zaangażowania w program 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CDB4C" w14:textId="2A1597E5" w:rsidR="00BD44D0" w:rsidRPr="007E4D74" w:rsidRDefault="001D1CBC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W ramach kryterium ocenie podlega czy o</w:t>
            </w:r>
            <w:r w:rsidR="00884BCE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ferta prze</w:t>
            </w:r>
            <w:r w:rsidR="00673E3B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884BCE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stawia rolę, zadania </w:t>
            </w:r>
            <w:r w:rsidR="00A44A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884BCE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i zaangażowanie odbiorców technologii na poszczególnych etapach programu, wskaz</w:t>
            </w:r>
            <w:r w:rsidR="00A44AC1">
              <w:rPr>
                <w:rFonts w:ascii="Times New Roman" w:eastAsia="Times New Roman" w:hAnsi="Times New Roman" w:cs="Times New Roman"/>
                <w:sz w:val="20"/>
                <w:szCs w:val="20"/>
              </w:rPr>
              <w:t>uje</w:t>
            </w:r>
            <w:r w:rsidR="00884BCE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bezpośrednie korzyści i dodatkowe wartości z tego uczestnictwa.</w:t>
            </w:r>
          </w:p>
          <w:p w14:paraId="30259B4C" w14:textId="77777777" w:rsidR="00BD44D0" w:rsidRPr="007E4D74" w:rsidRDefault="00BD44D0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C37E4A" w14:textId="77777777" w:rsidR="00BD44D0" w:rsidRPr="007E4D74" w:rsidRDefault="00884BCE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Ocenie w ramach kryterium podlega atrakcyjność oferty dla potencjalnych odbiorców technologii (konkretne, bezpośrednie lub pośrednie działania stanowiące dla nich wartość dodaną związaną z uczestnictwem w projekcie), forma i zakres ich zaangażowania, skala przedsiębiorstw do których Wnioskodawca zamierza dotrzeć z ofertą, kanały komunikacji i promocji oferty,  szacowany udział finansowy.</w:t>
            </w:r>
          </w:p>
          <w:p w14:paraId="3FD0A1E4" w14:textId="77777777" w:rsidR="00BD44D0" w:rsidRPr="007E4D74" w:rsidRDefault="00BD44D0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DF8CD5" w14:textId="77777777" w:rsidR="00BD44D0" w:rsidRPr="007E4D74" w:rsidRDefault="00884BCE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Atrakcyjność jest oceniana zarówno pod kątem oferty merytorycznej jak i innych wartości wpływających na zdolność zebrania wymaganego wkładu finansowego.</w:t>
            </w:r>
          </w:p>
          <w:p w14:paraId="382A9B86" w14:textId="77777777" w:rsidR="00BD44D0" w:rsidRPr="007E4D74" w:rsidRDefault="00BD44D0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9D3CD8" w14:textId="77777777" w:rsidR="00BD44D0" w:rsidRPr="007E4D74" w:rsidRDefault="00884BCE" w:rsidP="007E4D74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Calibri" w:eastAsia="Calibri" w:hAnsi="Calibri" w:cs="Calibri"/>
                <w:b/>
                <w:sz w:val="20"/>
                <w:szCs w:val="20"/>
              </w:rPr>
              <w:t>Sposób oceny kryterium:</w:t>
            </w:r>
          </w:p>
          <w:p w14:paraId="0C340A28" w14:textId="79982B91" w:rsidR="00BD44D0" w:rsidRPr="007E4D74" w:rsidRDefault="00884BCE" w:rsidP="007E4D74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0. Niedostateczny. Projekt w niedostatecznym stopniu odpowiada na wymogi kryterium.</w:t>
            </w:r>
          </w:p>
          <w:p w14:paraId="43765249" w14:textId="77777777" w:rsidR="00BD44D0" w:rsidRPr="007E4D74" w:rsidRDefault="00884BCE" w:rsidP="007E4D74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1. Dobry. Projekt właściwie odpowiada na wymogi kryterium, ale zidentyfikowano istotne słabości.</w:t>
            </w:r>
          </w:p>
          <w:p w14:paraId="78EC78F5" w14:textId="4265B0E5" w:rsidR="00BD44D0" w:rsidRPr="007E4D74" w:rsidRDefault="00884BCE" w:rsidP="007E4D74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2. Bardzo dobry. Projekt odpowiada na wszystkie istotne wymogi kryterium. Zidentyfikowane słabości są nieistotne.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93AFA" w14:textId="77777777" w:rsidR="00BD44D0" w:rsidRDefault="00884B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0-2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858EB" w14:textId="77777777" w:rsidR="00BD44D0" w:rsidRDefault="00884B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44D0" w14:paraId="571E7463" w14:textId="77777777" w:rsidTr="00FF4152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602C8" w14:textId="335B7487" w:rsidR="00BD44D0" w:rsidRPr="007E4D74" w:rsidRDefault="00884BCE" w:rsidP="007E4D74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KJ5: Wnioskodawca </w:t>
            </w:r>
            <w:r w:rsidR="00D41DAE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zapewnia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dostęp do infrastruktury badawczej zewnętrznych podmiotów z wyłączeniem odbiorców technologii (uczelnie, instytuty badawcze, przedsiębiorstwa świadczące komercyjne usługi,), wykorzystywanej do testowania i rozwoju akcelerowanych startupów.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5768A" w14:textId="56923FA0" w:rsidR="00BD44D0" w:rsidRPr="007E4D74" w:rsidRDefault="00884BCE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W ramach kryterium oceni</w:t>
            </w:r>
            <w:r w:rsidR="001D1CBC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podlega 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zdolność akceleratora do zapewnienia startupom infrastruktury badawczej do prac rozwojowych  i testów akcelerowanych rozwiązań (np. w przypadkach kiedy nie może być to zagwarantowane przez odbiorcę technologii).</w:t>
            </w:r>
          </w:p>
          <w:p w14:paraId="7B517BB3" w14:textId="77777777" w:rsidR="00BD44D0" w:rsidRPr="007E4D74" w:rsidRDefault="00884BCE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Infrastruktura badawcza może być zapewniana startupom bezpłatnie, komercyjnie, lub w dowolnym  innym modelu. Akcelerator przedstawia w ofercie koncepcję finansowania takiego dostępu.</w:t>
            </w:r>
          </w:p>
          <w:p w14:paraId="000384A2" w14:textId="77777777" w:rsidR="00BD44D0" w:rsidRPr="007E4D74" w:rsidRDefault="00BD44D0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03DF0B" w14:textId="1D5AD11A" w:rsidR="00BD44D0" w:rsidRPr="007E4D74" w:rsidRDefault="00884BCE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Weryfikacji w ramach kryterium podlegać będzie przygotowana przez akcelerator lista usług/grup usług mogą</w:t>
            </w:r>
            <w:r w:rsidR="00A44AC1">
              <w:rPr>
                <w:rFonts w:ascii="Times New Roman" w:eastAsia="Times New Roman" w:hAnsi="Times New Roman" w:cs="Times New Roman"/>
                <w:sz w:val="20"/>
                <w:szCs w:val="20"/>
              </w:rPr>
              <w:t>cych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mieć duże znaczenie dla procesu badawczo-rozwojowego produktów w branży </w:t>
            </w:r>
            <w:proofErr w:type="spellStart"/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elektromobilnej</w:t>
            </w:r>
            <w:proofErr w:type="spellEnd"/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, ze wskazaniem podmiotów je świadczących</w:t>
            </w:r>
            <w:r w:rsidR="00D41DAE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, stanowiąca załącznik nr 9 do wniosku.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9907893" w14:textId="77777777" w:rsidR="00BD44D0" w:rsidRPr="007E4D74" w:rsidRDefault="00BD44D0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6E5CF6" w14:textId="77777777" w:rsidR="00BD44D0" w:rsidRPr="007E4D74" w:rsidRDefault="00884BCE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Ważne jest, aby możliwość testowania była dla startupów realna (faktyczne świadczenie tych usług przez podmioty, realna możliwość z ich korzystania/zakupu w okresie akceleracji).</w:t>
            </w:r>
          </w:p>
          <w:p w14:paraId="52F0F204" w14:textId="77777777" w:rsidR="00BD44D0" w:rsidRPr="007E4D74" w:rsidRDefault="00BD44D0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815ED5" w14:textId="77777777" w:rsidR="00BD44D0" w:rsidRPr="007E4D74" w:rsidRDefault="00884BCE" w:rsidP="007E4D74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Calibri" w:eastAsia="Calibri" w:hAnsi="Calibri" w:cs="Calibri"/>
                <w:b/>
                <w:sz w:val="20"/>
                <w:szCs w:val="20"/>
              </w:rPr>
              <w:t>Sposób oceny kryterium:</w:t>
            </w:r>
          </w:p>
          <w:p w14:paraId="7E1FC53A" w14:textId="439FBC22" w:rsidR="00BD44D0" w:rsidRPr="007E4D74" w:rsidRDefault="00884BCE" w:rsidP="007E4D74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0. Niedostateczny. Projekt w niedostatecznym stopniu odpowiada na wymogi kryterium.</w:t>
            </w:r>
          </w:p>
          <w:p w14:paraId="23DE3696" w14:textId="77777777" w:rsidR="00BD44D0" w:rsidRPr="007E4D74" w:rsidRDefault="00884BCE" w:rsidP="007E4D74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1. Dobry. Projekt właściwie odpowiada na wymogi kryterium.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0E8E5" w14:textId="77777777" w:rsidR="00BD44D0" w:rsidRDefault="00884B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348D9" w14:textId="77777777" w:rsidR="00BD44D0" w:rsidRDefault="00884B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44D0" w14:paraId="7573068C" w14:textId="77777777" w:rsidTr="00FF4152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3E5B6" w14:textId="401492F5" w:rsidR="00BD44D0" w:rsidRPr="007E4D74" w:rsidRDefault="00884BCE" w:rsidP="0056144F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44F">
              <w:rPr>
                <w:rFonts w:ascii="Times New Roman" w:eastAsia="Times New Roman" w:hAnsi="Times New Roman" w:cs="Times New Roman"/>
                <w:sz w:val="20"/>
                <w:szCs w:val="20"/>
              </w:rPr>
              <w:t>KJ6: Wnioskodawca w</w:t>
            </w:r>
            <w:r w:rsidR="000E7FAD" w:rsidRPr="0056144F">
              <w:rPr>
                <w:rFonts w:ascii="Times New Roman" w:eastAsia="Times New Roman" w:hAnsi="Times New Roman" w:cs="Times New Roman"/>
                <w:sz w:val="20"/>
                <w:szCs w:val="20"/>
              </w:rPr>
              <w:t>e wniosku</w:t>
            </w:r>
            <w:r w:rsidRPr="00FF4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zawarł pakiet działań </w:t>
            </w:r>
            <w:proofErr w:type="spellStart"/>
            <w:r w:rsidRPr="00FF4152">
              <w:rPr>
                <w:rFonts w:ascii="Times New Roman" w:eastAsia="Times New Roman" w:hAnsi="Times New Roman" w:cs="Times New Roman"/>
                <w:sz w:val="20"/>
                <w:szCs w:val="20"/>
              </w:rPr>
              <w:t>postakceleracyjnych</w:t>
            </w:r>
            <w:proofErr w:type="spellEnd"/>
            <w:r w:rsidRPr="00FF4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mających na celu kontynuację rozwoju akcelerowanych przedsiębiorstw 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0589A" w14:textId="77777777" w:rsidR="00BD44D0" w:rsidRPr="007E4D74" w:rsidRDefault="00884BCE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W ramach kryterium ocenie podlega zaproponowana przez Wnioskodawcę koncepcja wykorzystania potencjału rezultatów projektu, kontynuacji działań, utrzymania jego efektów.</w:t>
            </w:r>
          </w:p>
          <w:p w14:paraId="4E03CB7C" w14:textId="77777777" w:rsidR="00BD44D0" w:rsidRPr="007E4D74" w:rsidRDefault="00BD44D0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A22F17" w14:textId="77777777" w:rsidR="00BD44D0" w:rsidRPr="007E4D74" w:rsidRDefault="00884BCE" w:rsidP="007E4D74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Calibri" w:eastAsia="Calibri" w:hAnsi="Calibri" w:cs="Calibri"/>
                <w:b/>
                <w:sz w:val="20"/>
                <w:szCs w:val="20"/>
              </w:rPr>
              <w:t>Sposób oceny kryterium:</w:t>
            </w:r>
          </w:p>
          <w:p w14:paraId="22F53889" w14:textId="3463646B" w:rsidR="00BD44D0" w:rsidRPr="007E4D74" w:rsidRDefault="00884BCE" w:rsidP="007E4D74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0. Niedostateczny. Projekt w niedostatecznym stopniu odpowiada na wymogi kryterium.</w:t>
            </w:r>
          </w:p>
          <w:p w14:paraId="34869592" w14:textId="77777777" w:rsidR="00BD44D0" w:rsidRPr="007E4D74" w:rsidRDefault="00884BCE" w:rsidP="007E4D74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1. Dobry. Projekt właściwie odpowiada na wymogi kryterium.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4DC8E" w14:textId="77777777" w:rsidR="00BD44D0" w:rsidRDefault="00884B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DF73F" w14:textId="77777777" w:rsidR="00BD44D0" w:rsidRDefault="00884B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44D0" w14:paraId="7207D4B0" w14:textId="77777777" w:rsidTr="00FF4152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F20D2" w14:textId="77777777" w:rsidR="00BD44D0" w:rsidRPr="007E4D74" w:rsidRDefault="00884BCE" w:rsidP="007E4D74">
            <w:pPr>
              <w:spacing w:before="12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KJ7: Uzasadnienie i racjonalność wydatków</w:t>
            </w:r>
          </w:p>
          <w:p w14:paraId="1D2AEACA" w14:textId="77777777" w:rsidR="00BD44D0" w:rsidRPr="007E4D74" w:rsidRDefault="00BD44D0" w:rsidP="007E4D74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DFA56" w14:textId="64101BCF" w:rsidR="00BD44D0" w:rsidRPr="007E4D74" w:rsidRDefault="00884BCE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W ramach kryterium badane jest, czy przedstawione w</w:t>
            </w:r>
            <w:r w:rsidR="000E7FAD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e wniosku</w:t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wydatki zostały określone prawidłowo, tj. mieszczą się w jednej z kategorii wydatków:</w:t>
            </w:r>
          </w:p>
          <w:p w14:paraId="05F97C81" w14:textId="77777777" w:rsidR="00BD44D0" w:rsidRPr="007E4D74" w:rsidRDefault="00884BCE" w:rsidP="007E4D7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Granty dla startupów</w:t>
            </w:r>
          </w:p>
          <w:p w14:paraId="4F2A0A5F" w14:textId="77777777" w:rsidR="00BD44D0" w:rsidRPr="007E4D74" w:rsidRDefault="00884BCE" w:rsidP="007E4D7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Usługi dla startupów</w:t>
            </w:r>
          </w:p>
          <w:p w14:paraId="1ADCD07B" w14:textId="77777777" w:rsidR="00BD44D0" w:rsidRPr="007E4D74" w:rsidRDefault="00884BCE" w:rsidP="007E4D7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Koszty operacyjne związane z:</w:t>
            </w:r>
          </w:p>
          <w:p w14:paraId="2436BCBA" w14:textId="77777777" w:rsidR="00BD44D0" w:rsidRPr="007E4D74" w:rsidRDefault="00884BCE" w:rsidP="007E4D74">
            <w:pPr>
              <w:widowControl w:val="0"/>
              <w:numPr>
                <w:ilvl w:val="1"/>
                <w:numId w:val="3"/>
              </w:numPr>
              <w:spacing w:line="240" w:lineRule="auto"/>
              <w:ind w:left="99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organizacją naboru i oceny uczestników programu akceleracyjnego,</w:t>
            </w:r>
          </w:p>
          <w:p w14:paraId="62F2EE54" w14:textId="77777777" w:rsidR="00BD44D0" w:rsidRPr="007E4D74" w:rsidRDefault="00884BCE" w:rsidP="007E4D74">
            <w:pPr>
              <w:widowControl w:val="0"/>
              <w:numPr>
                <w:ilvl w:val="1"/>
                <w:numId w:val="3"/>
              </w:numPr>
              <w:spacing w:line="240" w:lineRule="auto"/>
              <w:ind w:left="99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organizacją wydarzeń </w:t>
            </w:r>
            <w:proofErr w:type="spellStart"/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networkingowych</w:t>
            </w:r>
            <w:proofErr w:type="spellEnd"/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CAE06A7" w14:textId="77777777" w:rsidR="00BD44D0" w:rsidRPr="007E4D74" w:rsidRDefault="00884BCE" w:rsidP="007E4D74">
            <w:pPr>
              <w:widowControl w:val="0"/>
              <w:numPr>
                <w:ilvl w:val="1"/>
                <w:numId w:val="3"/>
              </w:numPr>
              <w:spacing w:line="240" w:lineRule="auto"/>
              <w:ind w:left="99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rozliczaniem i monitorowaniem projektu, w tym także wynagrodzenia oraz podróże służbowe osób zaangażowanych bezpośrednio w realizację projektu po stronie Grantobiorcy,</w:t>
            </w:r>
          </w:p>
          <w:p w14:paraId="5B41EAFD" w14:textId="77777777" w:rsidR="00BD44D0" w:rsidRPr="007E4D74" w:rsidRDefault="00884BCE" w:rsidP="007E4D74">
            <w:pPr>
              <w:widowControl w:val="0"/>
              <w:numPr>
                <w:ilvl w:val="1"/>
                <w:numId w:val="3"/>
              </w:numPr>
              <w:spacing w:line="240" w:lineRule="auto"/>
              <w:ind w:left="99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informacją i promocją programu.</w:t>
            </w:r>
          </w:p>
          <w:p w14:paraId="0AE0E034" w14:textId="77777777" w:rsidR="00BD44D0" w:rsidRPr="007E4D74" w:rsidRDefault="00BD44D0" w:rsidP="007E4D74">
            <w:pPr>
              <w:widowControl w:val="0"/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05DAC4" w14:textId="77777777" w:rsidR="00BD44D0" w:rsidRPr="007E4D74" w:rsidRDefault="00884BCE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oraz czy są adekwatne do zakresu i celów projektu. Badane jest, czy przedstawione w projekcie wydatki są uzasadnione i racjonalne z punktu widzenia realizacji programu akceleracyjnego oraz adekwatne do jego zakresu i celu, np. czy poszczególne wydatki nie zostały przeszacowane lub, czy mają one istotny wpływ na jakość realizowanego programu.</w:t>
            </w:r>
          </w:p>
          <w:p w14:paraId="2BA69408" w14:textId="77777777" w:rsidR="00BD44D0" w:rsidRPr="007E4D74" w:rsidRDefault="00BD44D0" w:rsidP="007E4D7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89B014" w14:textId="7056A9E7" w:rsidR="00BD44D0" w:rsidRPr="007E4D74" w:rsidRDefault="00884BCE" w:rsidP="007E4D7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Ocenie podlega w szczególności racjonalność wydatków przeznaczonych na wynagrodzenia i usługi obce w projekcie.</w:t>
            </w:r>
          </w:p>
          <w:p w14:paraId="2D34B972" w14:textId="6826E099" w:rsidR="00BD44D0" w:rsidRPr="007E4D74" w:rsidRDefault="00884BCE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Wydatki powinny zostać zaprezentowane w sposób pozwalający na oszacowanie kosztu jednostkowego (np. roboczogodzina) i uzasadnione w kontekście niezbędności </w:t>
            </w:r>
            <w:r w:rsidR="00A44A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w programie. Wnioskodawca powinien przedstawić źródła na podstawie których szacował wysokość poszczególnych kosztów (oferty, cenniki, raporty itp.)</w:t>
            </w:r>
          </w:p>
          <w:p w14:paraId="486E9121" w14:textId="77777777" w:rsidR="00695B19" w:rsidRPr="007E4D74" w:rsidRDefault="00695B19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C26CD6" w14:textId="47C0E825" w:rsidR="00695B19" w:rsidRPr="007E4D74" w:rsidRDefault="00695B19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 ocenie wynagrodzeń przewidzianych dla opiekunów partnerstw, preferowany będzie model </w:t>
            </w:r>
            <w:r w:rsidR="002174BD"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wynagradzania oparty na wynikach np. związanych z wdrożeniami akcelerowanych rozwiązań.  </w:t>
            </w:r>
          </w:p>
          <w:p w14:paraId="5ABB1D82" w14:textId="77777777" w:rsidR="00BD44D0" w:rsidRPr="007E4D74" w:rsidRDefault="00BD44D0" w:rsidP="007E4D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67EEEC" w14:textId="77777777" w:rsidR="00BD44D0" w:rsidRPr="007E4D74" w:rsidRDefault="00884BCE" w:rsidP="007E4D74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Calibri" w:eastAsia="Calibri" w:hAnsi="Calibri" w:cs="Calibri"/>
                <w:b/>
                <w:sz w:val="20"/>
                <w:szCs w:val="20"/>
              </w:rPr>
              <w:t>Sposób oceny kryterium:</w:t>
            </w:r>
          </w:p>
          <w:p w14:paraId="4945C6C0" w14:textId="19FF6107" w:rsidR="00BD44D0" w:rsidRPr="007E4D74" w:rsidRDefault="00884BCE" w:rsidP="007E4D74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0. Niedostateczny. Projekt w niedostatecznym stopniu odpowiada na wymogi kryterium.</w:t>
            </w:r>
          </w:p>
          <w:p w14:paraId="14E686A0" w14:textId="77777777" w:rsidR="00BD44D0" w:rsidRPr="007E4D74" w:rsidRDefault="00884BCE" w:rsidP="007E4D74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74">
              <w:rPr>
                <w:rFonts w:ascii="Times New Roman" w:eastAsia="Times New Roman" w:hAnsi="Times New Roman" w:cs="Times New Roman"/>
                <w:sz w:val="20"/>
                <w:szCs w:val="20"/>
              </w:rPr>
              <w:t>1. Dobry. Projekt właściwie odpowiada na wymogi kryterium.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7578D" w14:textId="77777777" w:rsidR="00BD44D0" w:rsidRDefault="00884B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6BB99" w14:textId="77777777" w:rsidR="00BD44D0" w:rsidRDefault="00884B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44D0" w14:paraId="5DEC4C09" w14:textId="77777777" w:rsidTr="00FF4152">
        <w:trPr>
          <w:trHeight w:val="400"/>
        </w:trPr>
        <w:tc>
          <w:tcPr>
            <w:tcW w:w="109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76ABC" w14:textId="77777777" w:rsidR="00BD44D0" w:rsidRDefault="00884BCE">
            <w:pPr>
              <w:spacing w:before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67F72" w14:textId="4E96BC91" w:rsidR="00BD44D0" w:rsidRPr="001B2BD6" w:rsidRDefault="00884BCE" w:rsidP="001B2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sz w:val="4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40764" w14:textId="63D66603" w:rsidR="00BD44D0" w:rsidRPr="001B2BD6" w:rsidRDefault="00A44AC1" w:rsidP="001B2B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sz w:val="40"/>
                <w:szCs w:val="20"/>
              </w:rPr>
              <w:t>7</w:t>
            </w:r>
          </w:p>
        </w:tc>
      </w:tr>
    </w:tbl>
    <w:p w14:paraId="4D2DE4C3" w14:textId="77777777" w:rsidR="00BD44D0" w:rsidRDefault="00BD44D0">
      <w:bookmarkStart w:id="2" w:name="_GoBack"/>
      <w:bookmarkEnd w:id="2"/>
    </w:p>
    <w:sectPr w:rsidR="00BD44D0" w:rsidSect="005A2D94">
      <w:headerReference w:type="default" r:id="rId7"/>
      <w:pgSz w:w="16834" w:h="11909" w:orient="landscape"/>
      <w:pgMar w:top="1440" w:right="1440" w:bottom="1276" w:left="1440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1F6CD" w14:textId="77777777" w:rsidR="00FF4152" w:rsidRDefault="00FF4152" w:rsidP="00FF4152">
      <w:pPr>
        <w:spacing w:line="240" w:lineRule="auto"/>
      </w:pPr>
      <w:r>
        <w:separator/>
      </w:r>
    </w:p>
  </w:endnote>
  <w:endnote w:type="continuationSeparator" w:id="0">
    <w:p w14:paraId="0D5B1DCB" w14:textId="77777777" w:rsidR="00FF4152" w:rsidRDefault="00FF4152" w:rsidP="00FF41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89194" w14:textId="77777777" w:rsidR="00FF4152" w:rsidRDefault="00FF4152" w:rsidP="00FF4152">
      <w:pPr>
        <w:spacing w:line="240" w:lineRule="auto"/>
      </w:pPr>
      <w:r>
        <w:separator/>
      </w:r>
    </w:p>
  </w:footnote>
  <w:footnote w:type="continuationSeparator" w:id="0">
    <w:p w14:paraId="07D2A1D2" w14:textId="77777777" w:rsidR="00FF4152" w:rsidRDefault="00FF4152" w:rsidP="00FF41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AF7A9" w14:textId="55C00B52" w:rsidR="00FF4152" w:rsidRDefault="005A2D94">
    <w:pPr>
      <w:pStyle w:val="Nagwek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1B2BD6">
      <w:rPr>
        <w:noProof/>
      </w:rPr>
      <w:drawing>
        <wp:inline distT="0" distB="0" distL="0" distR="0" wp14:anchorId="034F80E1" wp14:editId="1C0FF1CF">
          <wp:extent cx="8648700" cy="1057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48700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7F3788" w14:textId="456E651A" w:rsidR="005A2D94" w:rsidRDefault="005A2D94">
    <w:pPr>
      <w:pStyle w:val="Nagwek"/>
    </w:pPr>
    <w:r>
      <w:tab/>
    </w:r>
    <w:r>
      <w:tab/>
    </w:r>
    <w:r>
      <w:tab/>
    </w:r>
    <w:r>
      <w:tab/>
    </w:r>
    <w:r w:rsidRPr="00B66AB2">
      <w:rPr>
        <w:rFonts w:ascii="Times New Roman" w:hAnsi="Times New Roman"/>
      </w:rPr>
      <w:t xml:space="preserve">Załącznik nr </w:t>
    </w:r>
    <w:r>
      <w:rPr>
        <w:rFonts w:ascii="Times New Roman" w:hAnsi="Times New Roman"/>
      </w:rPr>
      <w:t>2</w:t>
    </w:r>
    <w:r w:rsidRPr="00B66AB2">
      <w:rPr>
        <w:rFonts w:ascii="Times New Roman" w:hAnsi="Times New Roman"/>
      </w:rPr>
      <w:t xml:space="preserve"> do Regulaminu </w:t>
    </w:r>
    <w:r>
      <w:rPr>
        <w:rFonts w:ascii="Times New Roman" w:hAnsi="Times New Roman"/>
      </w:rPr>
      <w:t>naboru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67113"/>
    <w:multiLevelType w:val="multilevel"/>
    <w:tmpl w:val="6D3049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4293A80"/>
    <w:multiLevelType w:val="multilevel"/>
    <w:tmpl w:val="F348A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A06637B"/>
    <w:multiLevelType w:val="multilevel"/>
    <w:tmpl w:val="46A239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C574005"/>
    <w:multiLevelType w:val="multilevel"/>
    <w:tmpl w:val="6F80DD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D0"/>
    <w:rsid w:val="00027734"/>
    <w:rsid w:val="000472CB"/>
    <w:rsid w:val="00062387"/>
    <w:rsid w:val="000B1010"/>
    <w:rsid w:val="000E7FAD"/>
    <w:rsid w:val="0011413E"/>
    <w:rsid w:val="00177278"/>
    <w:rsid w:val="001B2BD6"/>
    <w:rsid w:val="001D14DA"/>
    <w:rsid w:val="001D1CBC"/>
    <w:rsid w:val="001D23D4"/>
    <w:rsid w:val="001D41DC"/>
    <w:rsid w:val="001E2E42"/>
    <w:rsid w:val="001F50FC"/>
    <w:rsid w:val="002111C1"/>
    <w:rsid w:val="0021376F"/>
    <w:rsid w:val="002174BD"/>
    <w:rsid w:val="002378B5"/>
    <w:rsid w:val="002B6547"/>
    <w:rsid w:val="002F27F9"/>
    <w:rsid w:val="002F3948"/>
    <w:rsid w:val="00303FBC"/>
    <w:rsid w:val="00322198"/>
    <w:rsid w:val="00343CB1"/>
    <w:rsid w:val="00360711"/>
    <w:rsid w:val="00373AC8"/>
    <w:rsid w:val="003B2AF7"/>
    <w:rsid w:val="00406AB4"/>
    <w:rsid w:val="00447E8B"/>
    <w:rsid w:val="0046236B"/>
    <w:rsid w:val="004761F1"/>
    <w:rsid w:val="0048345A"/>
    <w:rsid w:val="004844CB"/>
    <w:rsid w:val="004C331C"/>
    <w:rsid w:val="004C4D64"/>
    <w:rsid w:val="004D2707"/>
    <w:rsid w:val="004D65D0"/>
    <w:rsid w:val="004E6A7E"/>
    <w:rsid w:val="00504001"/>
    <w:rsid w:val="005127AC"/>
    <w:rsid w:val="00517581"/>
    <w:rsid w:val="005419F6"/>
    <w:rsid w:val="0056144F"/>
    <w:rsid w:val="00565ECA"/>
    <w:rsid w:val="005A2D94"/>
    <w:rsid w:val="00622ACB"/>
    <w:rsid w:val="0064505F"/>
    <w:rsid w:val="006462C2"/>
    <w:rsid w:val="00666FA7"/>
    <w:rsid w:val="00673E3B"/>
    <w:rsid w:val="00695B19"/>
    <w:rsid w:val="006C1D27"/>
    <w:rsid w:val="006E174C"/>
    <w:rsid w:val="007C1622"/>
    <w:rsid w:val="007E4D74"/>
    <w:rsid w:val="008052F8"/>
    <w:rsid w:val="008241A3"/>
    <w:rsid w:val="0083316A"/>
    <w:rsid w:val="00854DCE"/>
    <w:rsid w:val="00884BCE"/>
    <w:rsid w:val="008927A1"/>
    <w:rsid w:val="008F5F8F"/>
    <w:rsid w:val="00977AC1"/>
    <w:rsid w:val="00982842"/>
    <w:rsid w:val="009B6676"/>
    <w:rsid w:val="009D2E3B"/>
    <w:rsid w:val="009E22D6"/>
    <w:rsid w:val="00A0362B"/>
    <w:rsid w:val="00A04B20"/>
    <w:rsid w:val="00A15D03"/>
    <w:rsid w:val="00A225CE"/>
    <w:rsid w:val="00A346F7"/>
    <w:rsid w:val="00A34C14"/>
    <w:rsid w:val="00A44AC1"/>
    <w:rsid w:val="00A86F06"/>
    <w:rsid w:val="00AE08AC"/>
    <w:rsid w:val="00B126E5"/>
    <w:rsid w:val="00BD423F"/>
    <w:rsid w:val="00BD44D0"/>
    <w:rsid w:val="00BE24BF"/>
    <w:rsid w:val="00C67769"/>
    <w:rsid w:val="00C75C32"/>
    <w:rsid w:val="00C84831"/>
    <w:rsid w:val="00C86EFC"/>
    <w:rsid w:val="00CF10E7"/>
    <w:rsid w:val="00D0744C"/>
    <w:rsid w:val="00D22C7D"/>
    <w:rsid w:val="00D41DAE"/>
    <w:rsid w:val="00D50DE1"/>
    <w:rsid w:val="00D534BE"/>
    <w:rsid w:val="00D806D5"/>
    <w:rsid w:val="00D93DDF"/>
    <w:rsid w:val="00DA64A7"/>
    <w:rsid w:val="00DD0407"/>
    <w:rsid w:val="00DD43D5"/>
    <w:rsid w:val="00DD4B1A"/>
    <w:rsid w:val="00E11A15"/>
    <w:rsid w:val="00E22235"/>
    <w:rsid w:val="00E24EF7"/>
    <w:rsid w:val="00E9060F"/>
    <w:rsid w:val="00E94180"/>
    <w:rsid w:val="00EA29B2"/>
    <w:rsid w:val="00EB72E2"/>
    <w:rsid w:val="00EC29AA"/>
    <w:rsid w:val="00EC795B"/>
    <w:rsid w:val="00ED05C9"/>
    <w:rsid w:val="00EE7A51"/>
    <w:rsid w:val="00EF0080"/>
    <w:rsid w:val="00EF78B6"/>
    <w:rsid w:val="00F25078"/>
    <w:rsid w:val="00F5379F"/>
    <w:rsid w:val="00F65644"/>
    <w:rsid w:val="00F908CA"/>
    <w:rsid w:val="00F94F53"/>
    <w:rsid w:val="00FD36A9"/>
    <w:rsid w:val="00FE73A3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A5F1"/>
  <w15:docId w15:val="{25FA3C1F-A9E5-417E-9C3F-FBB8F8BD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B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BC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B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B1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06A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41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152"/>
  </w:style>
  <w:style w:type="paragraph" w:styleId="Stopka">
    <w:name w:val="footer"/>
    <w:basedOn w:val="Normalny"/>
    <w:link w:val="StopkaZnak"/>
    <w:uiPriority w:val="99"/>
    <w:unhideWhenUsed/>
    <w:rsid w:val="00FF415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9</Pages>
  <Words>2187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Ciok-Pachecka Aleksandra</dc:creator>
  <cp:lastModifiedBy>Ciok-Pachecka Aleksandra</cp:lastModifiedBy>
  <cp:revision>75</cp:revision>
  <cp:lastPrinted>2017-09-19T15:05:00Z</cp:lastPrinted>
  <dcterms:created xsi:type="dcterms:W3CDTF">2017-09-01T15:08:00Z</dcterms:created>
  <dcterms:modified xsi:type="dcterms:W3CDTF">2017-09-28T14:19:00Z</dcterms:modified>
</cp:coreProperties>
</file>