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81" w:rsidRPr="001410DC" w:rsidRDefault="001410DC" w:rsidP="001410DC">
      <w:pPr>
        <w:rPr>
          <w:rFonts w:ascii="Arial" w:hAnsi="Arial" w:cs="Arial"/>
          <w:sz w:val="24"/>
          <w:szCs w:val="24"/>
        </w:rPr>
      </w:pPr>
      <w:r w:rsidRPr="001410D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22997B9" wp14:editId="40AE7CBB">
            <wp:extent cx="5760720" cy="621665"/>
            <wp:effectExtent l="0" t="0" r="0" b="6985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DC" w:rsidRPr="001410DC" w:rsidRDefault="0069747D" w:rsidP="001410DC">
      <w:pPr>
        <w:pStyle w:val="Nagwe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12</w:t>
      </w:r>
      <w:r w:rsidR="001410DC" w:rsidRPr="001410DC">
        <w:rPr>
          <w:rFonts w:ascii="Arial" w:hAnsi="Arial" w:cs="Arial"/>
          <w:sz w:val="24"/>
          <w:szCs w:val="24"/>
        </w:rPr>
        <w:t xml:space="preserve"> do Umowy o dofinansowanie</w:t>
      </w:r>
    </w:p>
    <w:p w:rsidR="00D05F81" w:rsidRPr="001410DC" w:rsidRDefault="00D05F81" w:rsidP="001410DC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05F81" w:rsidRPr="001410DC" w:rsidTr="00D05F81">
        <w:trPr>
          <w:trHeight w:val="93"/>
        </w:trPr>
        <w:tc>
          <w:tcPr>
            <w:tcW w:w="9322" w:type="dxa"/>
          </w:tcPr>
          <w:p w:rsidR="00D05F81" w:rsidRPr="001410DC" w:rsidRDefault="00D05F81" w:rsidP="001410DC">
            <w:pPr>
              <w:pStyle w:val="Default"/>
            </w:pPr>
            <w:r w:rsidRPr="001410DC">
              <w:rPr>
                <w:b/>
                <w:bCs/>
              </w:rPr>
              <w:t xml:space="preserve">DZIAŁANIE 1.3 </w:t>
            </w:r>
            <w:r w:rsidRPr="001410DC">
              <w:rPr>
                <w:b/>
                <w:bCs/>
                <w:i/>
                <w:iCs/>
              </w:rPr>
              <w:t xml:space="preserve">PONADREGIONALNE POWIĄZANIA KOOPERACYJNE </w:t>
            </w:r>
          </w:p>
        </w:tc>
      </w:tr>
      <w:tr w:rsidR="00D05F81" w:rsidRPr="001410DC" w:rsidTr="00D05F81">
        <w:trPr>
          <w:trHeight w:val="93"/>
        </w:trPr>
        <w:tc>
          <w:tcPr>
            <w:tcW w:w="9322" w:type="dxa"/>
          </w:tcPr>
          <w:p w:rsidR="00D05F81" w:rsidRPr="001410DC" w:rsidRDefault="00D05F81" w:rsidP="001410DC">
            <w:pPr>
              <w:pStyle w:val="Default"/>
            </w:pPr>
            <w:r w:rsidRPr="001410DC">
              <w:rPr>
                <w:b/>
                <w:bCs/>
              </w:rPr>
              <w:t xml:space="preserve">PODDZIAŁANIE 1.3.1 Wdrażanie innowacji przez MŚP </w:t>
            </w:r>
          </w:p>
        </w:tc>
      </w:tr>
    </w:tbl>
    <w:p w:rsidR="00D26AE8" w:rsidRPr="001410DC" w:rsidRDefault="00D26AE8" w:rsidP="001410DC">
      <w:pPr>
        <w:rPr>
          <w:rFonts w:ascii="Arial" w:hAnsi="Arial" w:cs="Arial"/>
          <w:sz w:val="24"/>
          <w:szCs w:val="24"/>
        </w:rPr>
      </w:pPr>
    </w:p>
    <w:p w:rsidR="00D05F81" w:rsidRPr="001410DC" w:rsidRDefault="00D05F81" w:rsidP="001410DC">
      <w:pPr>
        <w:rPr>
          <w:rFonts w:ascii="Arial" w:hAnsi="Arial" w:cs="Arial"/>
          <w:sz w:val="24"/>
          <w:szCs w:val="24"/>
        </w:rPr>
      </w:pPr>
    </w:p>
    <w:p w:rsidR="00D05F81" w:rsidRPr="001410DC" w:rsidRDefault="00D05F81" w:rsidP="001410DC">
      <w:pPr>
        <w:pStyle w:val="Default"/>
      </w:pPr>
      <w:r w:rsidRPr="001410DC">
        <w:t xml:space="preserve">Do kosztów kwalifikowalnych, zalicza się: </w:t>
      </w:r>
    </w:p>
    <w:p w:rsidR="00D05F81" w:rsidRPr="001410DC" w:rsidRDefault="00D05F81" w:rsidP="001410DC">
      <w:pPr>
        <w:pStyle w:val="Default"/>
      </w:pPr>
      <w:r w:rsidRPr="001410DC">
        <w:t xml:space="preserve">1) koszty realizacji inwestycji początkowej obejmujące: </w:t>
      </w:r>
    </w:p>
    <w:p w:rsidR="00D05F81" w:rsidRPr="001410DC" w:rsidRDefault="00D05F81" w:rsidP="001410DC">
      <w:pPr>
        <w:pStyle w:val="Default"/>
        <w:spacing w:after="246"/>
        <w:ind w:left="708" w:hanging="424"/>
      </w:pPr>
      <w:r w:rsidRPr="001410DC">
        <w:t xml:space="preserve">a. nabycie nieruchomości, w tym prawa użytkowania wieczystego, z wyłączeniem lokali mieszkalnych, </w:t>
      </w:r>
    </w:p>
    <w:p w:rsidR="00D05F81" w:rsidRPr="001410DC" w:rsidRDefault="00D05F81" w:rsidP="001410DC">
      <w:pPr>
        <w:pStyle w:val="Default"/>
        <w:spacing w:after="246"/>
        <w:ind w:left="708" w:hanging="424"/>
      </w:pPr>
      <w:r w:rsidRPr="001410DC">
        <w:t xml:space="preserve">b. nabycie albo wytworzenie środków trwałych innych niż określone w lit. a, </w:t>
      </w:r>
    </w:p>
    <w:p w:rsidR="00D05F81" w:rsidRPr="001410DC" w:rsidRDefault="00D05F81" w:rsidP="001410DC">
      <w:pPr>
        <w:pStyle w:val="Default"/>
        <w:spacing w:after="246"/>
        <w:ind w:left="708" w:hanging="424"/>
      </w:pPr>
      <w:r w:rsidRPr="001410DC">
        <w:t xml:space="preserve">c. nabycie robót i materiałów budowlanych, </w:t>
      </w:r>
    </w:p>
    <w:p w:rsidR="00D05F81" w:rsidRPr="001410DC" w:rsidRDefault="00D05F81" w:rsidP="001410DC">
      <w:pPr>
        <w:pStyle w:val="Default"/>
        <w:spacing w:after="246"/>
        <w:ind w:left="708" w:hanging="424"/>
      </w:pPr>
      <w:r w:rsidRPr="001410DC">
        <w:t xml:space="preserve">d. raty spłaty kapitału nieruchomości zabudowanych i niezabudowanych, poniesione przez korzystającego do dnia zakończenia realizacji projektu, do wysokości kapitału z dnia zawarcia umowy leasingu albo spłatę kapitału nieruchomości zabudowanych i niezabudowanych należną finansującemu z tytułu umowy leasingu, o ile we wniosku jest wskazany przez wnioskodawcę jako podmiot upoważniony do poniesienia kosztu oraz pod warunkiem, że umowa leasingu będzie obejmowała okres co najmniej 3 lat od przewidywanego terminu zakończenia realizacji projektu, </w:t>
      </w:r>
    </w:p>
    <w:p w:rsidR="00D05F81" w:rsidRPr="001410DC" w:rsidRDefault="00D05F81" w:rsidP="001410DC">
      <w:pPr>
        <w:pStyle w:val="Default"/>
        <w:spacing w:after="246"/>
        <w:ind w:left="708" w:hanging="424"/>
      </w:pPr>
      <w:r w:rsidRPr="001410DC">
        <w:t xml:space="preserve">e. raty spłaty kapitału środków trwałych innych niż określone w lit. d. poniesione przez korzystającego do dnia zakończenia realizacji projektu, do wysokości kapitału z dnia zawarcia umowy leasingu, albo spłatę kapitału środków trwałych innych niż określone w lit. d. należną finansującemu z tytułu umowy leasingu prowadzącej do przeniesienia własności tych środków na korzystającego, z wyłączeniem leasingu zwrotnego, o ile we wniosku jest wskazany przez wnioskodawcę jako podmiot upoważniony do poniesienia kosztu, </w:t>
      </w:r>
    </w:p>
    <w:p w:rsidR="00D05F81" w:rsidRPr="001410DC" w:rsidRDefault="00D05F81" w:rsidP="001410DC">
      <w:pPr>
        <w:pStyle w:val="Default"/>
        <w:ind w:left="708" w:hanging="424"/>
      </w:pPr>
      <w:r w:rsidRPr="001410DC">
        <w:t>f. nabycie wartości niematerialnych i prawnych w formie patentów, licencji, know-how oraz innych praw własności intelektualnej</w:t>
      </w:r>
      <w:r w:rsidR="0069747D">
        <w:t>,</w:t>
      </w:r>
      <w:r w:rsidRPr="001410DC">
        <w:t xml:space="preserve"> jeżeli spełniają łącznie następujące warunki: </w:t>
      </w:r>
    </w:p>
    <w:p w:rsidR="00D05F81" w:rsidRPr="001410DC" w:rsidRDefault="00D05F81" w:rsidP="001410DC">
      <w:pPr>
        <w:pStyle w:val="Default"/>
        <w:numPr>
          <w:ilvl w:val="0"/>
          <w:numId w:val="3"/>
        </w:numPr>
        <w:spacing w:after="246"/>
      </w:pPr>
      <w:r w:rsidRPr="001410DC">
        <w:t xml:space="preserve">będą wykorzystywane wyłącznie w przedsiębiorstwie przedsiębiorcy otrzymującego pomoc, </w:t>
      </w:r>
    </w:p>
    <w:p w:rsidR="00D05F81" w:rsidRPr="001410DC" w:rsidRDefault="00D05F81" w:rsidP="001410DC">
      <w:pPr>
        <w:pStyle w:val="Default"/>
        <w:numPr>
          <w:ilvl w:val="0"/>
          <w:numId w:val="3"/>
        </w:numPr>
        <w:spacing w:after="246"/>
      </w:pPr>
      <w:r w:rsidRPr="001410DC">
        <w:t xml:space="preserve">będą podlegać amortyzacji zgodnie z przepisami o rachunkowości, </w:t>
      </w:r>
    </w:p>
    <w:p w:rsidR="00D05F81" w:rsidRPr="001410DC" w:rsidRDefault="00D05F81" w:rsidP="001410DC">
      <w:pPr>
        <w:pStyle w:val="Default"/>
        <w:numPr>
          <w:ilvl w:val="0"/>
          <w:numId w:val="3"/>
        </w:numPr>
        <w:spacing w:after="246"/>
      </w:pPr>
      <w:r w:rsidRPr="001410DC">
        <w:t xml:space="preserve">będą nabyte od osób trzecich niepowiązanych z przedsiębiorcą na warunkach rynkowych, </w:t>
      </w:r>
    </w:p>
    <w:p w:rsidR="00D05F81" w:rsidRPr="001410DC" w:rsidRDefault="00D05F81" w:rsidP="001410DC">
      <w:pPr>
        <w:pStyle w:val="Default"/>
        <w:numPr>
          <w:ilvl w:val="0"/>
          <w:numId w:val="3"/>
        </w:numPr>
      </w:pPr>
      <w:r w:rsidRPr="001410DC">
        <w:lastRenderedPageBreak/>
        <w:t xml:space="preserve">będą stanowić aktywa przedsiębiorcy otrzymującego pomoc i pozostaną związane z projektem oraz pozostaną w jego przedsiębiorstwie przez co najmniej 3 lata od dnia zakończenia realizacji projektu. </w:t>
      </w:r>
    </w:p>
    <w:p w:rsidR="00D05F81" w:rsidRPr="001410DC" w:rsidRDefault="00D05F81" w:rsidP="001410DC">
      <w:pPr>
        <w:pStyle w:val="Default"/>
      </w:pPr>
      <w:r w:rsidRPr="001410DC">
        <w:t xml:space="preserve">Zakup wyników prac B+R nie jest wydatkiem kwalifikowalnym w ramach poddziałania. </w:t>
      </w:r>
      <w:r w:rsidR="00AB1D26">
        <w:br/>
      </w:r>
    </w:p>
    <w:p w:rsidR="00D05F81" w:rsidRPr="001410DC" w:rsidRDefault="00D05F81" w:rsidP="001410DC">
      <w:pPr>
        <w:pStyle w:val="Default"/>
      </w:pPr>
      <w:r w:rsidRPr="001410DC">
        <w:t xml:space="preserve">Dodatkowe warunki: </w:t>
      </w:r>
    </w:p>
    <w:p w:rsidR="00D05F81" w:rsidRPr="001410DC" w:rsidRDefault="00D05F81" w:rsidP="00AB1D26">
      <w:pPr>
        <w:pStyle w:val="Default"/>
        <w:spacing w:after="129"/>
      </w:pPr>
      <w:r w:rsidRPr="001410DC">
        <w:t xml:space="preserve">a) Łączna wartość kosztów kwalifikowalnych, o których mowa w pkt 1 lit. a. i d. może wynosić do 10% kosztów kwalifikowalnych projektu, o których mowa w pkt 1, </w:t>
      </w:r>
    </w:p>
    <w:p w:rsidR="00D05F81" w:rsidRPr="001410DC" w:rsidRDefault="00D05F81" w:rsidP="001410DC">
      <w:pPr>
        <w:pStyle w:val="Default"/>
        <w:spacing w:after="248"/>
      </w:pPr>
      <w:r w:rsidRPr="001410DC">
        <w:t xml:space="preserve">2) zakup usług doradczych związanych z inwestycją w zakresie innowacji i usług wsparcia innowacji, np. w zakresie wzornictwa, przygotowania do wdrożenia, doradztwa technicznego związanego z wdrożeniem inwestycji (przygotowanie projektów technicznych, dokumentacji wdrożeniowej, analiz w zakresie niezbędnych prac dostosowawczych) oraz inne, jeżeli są niezbędne dla skutecznego przygotowania do wdrożenia; </w:t>
      </w:r>
    </w:p>
    <w:p w:rsidR="00F57991" w:rsidRPr="001410DC" w:rsidRDefault="00D05F81" w:rsidP="001410DC">
      <w:pPr>
        <w:pStyle w:val="Default"/>
      </w:pPr>
      <w:r w:rsidRPr="001410DC">
        <w:t xml:space="preserve">3) koszty uzyskania, walidacji i obrony patentów i innych wartości niematerialnych i prawnych. </w:t>
      </w:r>
      <w:r w:rsidR="00AB1D26">
        <w:br/>
      </w:r>
    </w:p>
    <w:p w:rsidR="00D05F81" w:rsidRPr="001410DC" w:rsidRDefault="00F57991" w:rsidP="001410DC">
      <w:pPr>
        <w:pStyle w:val="Default"/>
      </w:pPr>
      <w:r w:rsidRPr="001410DC">
        <w:t>4) koszty ustanowienia i utrzymania zabezpieczenia dla zaliczki wypłacanej beneficjentom.</w:t>
      </w:r>
      <w:r w:rsidR="00AB1D26">
        <w:br/>
      </w:r>
      <w:bookmarkStart w:id="0" w:name="_GoBack"/>
      <w:bookmarkEnd w:id="0"/>
    </w:p>
    <w:p w:rsidR="00D05F81" w:rsidRPr="001410DC" w:rsidRDefault="00D05F81" w:rsidP="001410DC">
      <w:pPr>
        <w:pStyle w:val="Default"/>
      </w:pPr>
      <w:r w:rsidRPr="001410DC">
        <w:t xml:space="preserve">W przypadku kosztów, o których mowa w: </w:t>
      </w:r>
    </w:p>
    <w:p w:rsidR="00D05F81" w:rsidRPr="001410DC" w:rsidRDefault="00011FF6" w:rsidP="001410DC">
      <w:pPr>
        <w:pStyle w:val="Default"/>
        <w:spacing w:after="248"/>
      </w:pPr>
      <w:r w:rsidRPr="001410DC">
        <w:t xml:space="preserve"> - </w:t>
      </w:r>
      <w:r w:rsidR="00D05F81" w:rsidRPr="001410DC">
        <w:t>pkt 1</w:t>
      </w:r>
      <w:r w:rsidR="00936692" w:rsidRPr="001410DC">
        <w:t xml:space="preserve"> i 4</w:t>
      </w:r>
      <w:r w:rsidR="00D05F81" w:rsidRPr="001410DC">
        <w:t xml:space="preserve"> maksymalną intensywność pomocy określa się zgodnie z § 3 i § 5 rozporządzenia Rady Ministrów z dnia 30 czerwca 2014 r. w sprawie ustalenia mapy pomocy regionalnej na lata 2014-2020 (Dz. U. poz. 878), </w:t>
      </w:r>
    </w:p>
    <w:p w:rsidR="00D05F81" w:rsidRPr="001410DC" w:rsidRDefault="00011FF6" w:rsidP="001410DC">
      <w:pPr>
        <w:pStyle w:val="Default"/>
        <w:spacing w:after="248"/>
      </w:pPr>
      <w:r w:rsidRPr="001410DC">
        <w:t xml:space="preserve">- </w:t>
      </w:r>
      <w:r w:rsidR="00D05F81" w:rsidRPr="001410DC">
        <w:t xml:space="preserve">pkt 2 maksymalna intensywność pomocy wynosi 50% kosztów kwalifikowalnych, jeśli jednak kwota pomocy na te usługi nie przekracza 200 000 EUR na przedsiębiorcę w dowolnym trzyletnim okresie, wsparcie może zostać zwiększone do 85% kosztów kwalifikowalnych, </w:t>
      </w:r>
    </w:p>
    <w:p w:rsidR="00D05F81" w:rsidRPr="001410DC" w:rsidRDefault="00011FF6" w:rsidP="001410DC">
      <w:pPr>
        <w:pStyle w:val="Default"/>
      </w:pPr>
      <w:r w:rsidRPr="001410DC">
        <w:t xml:space="preserve">- </w:t>
      </w:r>
      <w:r w:rsidR="00D05F81" w:rsidRPr="001410DC">
        <w:t xml:space="preserve">pkt 3 maksymalna intensywność pomocy wynosi 50% kosztów kwalifikowalnych. </w:t>
      </w:r>
    </w:p>
    <w:p w:rsidR="00D05F81" w:rsidRPr="001410DC" w:rsidRDefault="00D05F81" w:rsidP="001410DC">
      <w:pPr>
        <w:rPr>
          <w:rFonts w:ascii="Arial" w:hAnsi="Arial" w:cs="Arial"/>
          <w:sz w:val="24"/>
          <w:szCs w:val="24"/>
        </w:rPr>
      </w:pPr>
    </w:p>
    <w:sectPr w:rsidR="00D05F81" w:rsidRPr="001410DC" w:rsidSect="001410D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81" w:rsidRDefault="00D05F81" w:rsidP="00D05F81">
      <w:pPr>
        <w:spacing w:after="0" w:line="240" w:lineRule="auto"/>
      </w:pPr>
      <w:r>
        <w:separator/>
      </w:r>
    </w:p>
  </w:endnote>
  <w:endnote w:type="continuationSeparator" w:id="0">
    <w:p w:rsidR="00D05F81" w:rsidRDefault="00D05F81" w:rsidP="00D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81" w:rsidRDefault="00D05F81" w:rsidP="00D05F81">
      <w:pPr>
        <w:spacing w:after="0" w:line="240" w:lineRule="auto"/>
      </w:pPr>
      <w:r>
        <w:separator/>
      </w:r>
    </w:p>
  </w:footnote>
  <w:footnote w:type="continuationSeparator" w:id="0">
    <w:p w:rsidR="00D05F81" w:rsidRDefault="00D05F81" w:rsidP="00D0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DB2"/>
    <w:multiLevelType w:val="hybridMultilevel"/>
    <w:tmpl w:val="50D6AA0C"/>
    <w:lvl w:ilvl="0" w:tplc="0415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810A18"/>
    <w:multiLevelType w:val="hybridMultilevel"/>
    <w:tmpl w:val="FB5A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339F"/>
    <w:multiLevelType w:val="hybridMultilevel"/>
    <w:tmpl w:val="0E401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1"/>
    <w:rsid w:val="00011FF6"/>
    <w:rsid w:val="001410DC"/>
    <w:rsid w:val="002D34D9"/>
    <w:rsid w:val="00405AEF"/>
    <w:rsid w:val="0069747D"/>
    <w:rsid w:val="00710B45"/>
    <w:rsid w:val="00831D12"/>
    <w:rsid w:val="00936692"/>
    <w:rsid w:val="00A149BD"/>
    <w:rsid w:val="00AB1D26"/>
    <w:rsid w:val="00BC584F"/>
    <w:rsid w:val="00D05F81"/>
    <w:rsid w:val="00D203E9"/>
    <w:rsid w:val="00D26AE8"/>
    <w:rsid w:val="00F57991"/>
    <w:rsid w:val="00F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DC76-F003-451C-9AA9-C7D8DF2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F81"/>
  </w:style>
  <w:style w:type="paragraph" w:styleId="Stopka">
    <w:name w:val="footer"/>
    <w:basedOn w:val="Normalny"/>
    <w:link w:val="Stopka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F81"/>
  </w:style>
  <w:style w:type="paragraph" w:styleId="Tekstdymka">
    <w:name w:val="Balloon Text"/>
    <w:basedOn w:val="Normalny"/>
    <w:link w:val="TekstdymkaZnak"/>
    <w:uiPriority w:val="99"/>
    <w:semiHidden/>
    <w:unhideWhenUsed/>
    <w:rsid w:val="0001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00A5-6BA4-4EF1-96BE-04F43A43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6</cp:revision>
  <dcterms:created xsi:type="dcterms:W3CDTF">2018-11-09T12:43:00Z</dcterms:created>
  <dcterms:modified xsi:type="dcterms:W3CDTF">2019-03-27T14:32:00Z</dcterms:modified>
</cp:coreProperties>
</file>