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8564" w14:textId="77777777" w:rsidR="009D22BD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22670ED4" wp14:editId="66B08F8A">
            <wp:extent cx="5759450" cy="6254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3ACD" w14:textId="77777777" w:rsidR="001E56B7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06E97E0" w14:textId="77777777" w:rsidR="00766E7F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DC53834" w14:textId="77777777" w:rsidR="00766E7F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209F5D7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328EF80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0478FCC3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308570AD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0A405A4B" w14:textId="77777777" w:rsidR="00745CC8" w:rsidRPr="00E63EB0" w:rsidRDefault="00745CC8" w:rsidP="00E63EB0">
      <w:pPr>
        <w:spacing w:after="120" w:line="276" w:lineRule="auto"/>
        <w:jc w:val="both"/>
      </w:pPr>
    </w:p>
    <w:p w14:paraId="61D4A09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3522E8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173E5031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4C972B89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5E6E0866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3E4524E5" w14:textId="77777777" w:rsidR="008F7778" w:rsidRPr="00766E7F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 w:rsidRPr="00DA0132">
        <w:rPr>
          <w:b/>
        </w:rPr>
        <w:t>O</w:t>
      </w:r>
      <w:r w:rsidR="000D1848" w:rsidRPr="00DA0132">
        <w:rPr>
          <w:b/>
        </w:rPr>
        <w:t>ś priorytetowa I</w:t>
      </w:r>
      <w:r w:rsidR="008F7778" w:rsidRPr="00DA0132">
        <w:rPr>
          <w:b/>
        </w:rPr>
        <w:t xml:space="preserve">: </w:t>
      </w:r>
      <w:r w:rsidR="000D1848" w:rsidRPr="00DA0132">
        <w:rPr>
          <w:b/>
        </w:rPr>
        <w:t>Przedsiębiorcza Polska Wschodnia</w:t>
      </w:r>
    </w:p>
    <w:p w14:paraId="7DA537FC" w14:textId="77777777" w:rsidR="009A4AD0" w:rsidRPr="00E63EB0" w:rsidRDefault="00BA02D5" w:rsidP="00D53B68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766E7F">
        <w:rPr>
          <w:b/>
          <w:bCs/>
        </w:rPr>
        <w:t xml:space="preserve"> </w:t>
      </w:r>
      <w:r w:rsidR="00D53B68">
        <w:rPr>
          <w:b/>
          <w:bCs/>
        </w:rPr>
        <w:t>Etap II</w:t>
      </w:r>
    </w:p>
    <w:p w14:paraId="4661B3BC" w14:textId="77777777" w:rsidR="00766E7F" w:rsidRDefault="00766E7F" w:rsidP="00BA02D5">
      <w:pPr>
        <w:spacing w:after="120" w:line="276" w:lineRule="auto"/>
        <w:jc w:val="center"/>
        <w:rPr>
          <w:bCs/>
        </w:rPr>
      </w:pPr>
    </w:p>
    <w:p w14:paraId="2D39106F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projektów:</w:t>
      </w:r>
    </w:p>
    <w:p w14:paraId="013843B3" w14:textId="77777777" w:rsidR="00BA02D5" w:rsidRDefault="00665E1D" w:rsidP="00BA02D5">
      <w:pPr>
        <w:spacing w:after="120" w:line="276" w:lineRule="auto"/>
        <w:jc w:val="center"/>
        <w:rPr>
          <w:bCs/>
        </w:rPr>
      </w:pPr>
      <w:r>
        <w:rPr>
          <w:bCs/>
        </w:rPr>
        <w:t>2</w:t>
      </w:r>
      <w:r w:rsidR="00BA02D5" w:rsidRPr="00BA02D5">
        <w:rPr>
          <w:bCs/>
        </w:rPr>
        <w:t xml:space="preserve">50 000 000,00 </w:t>
      </w:r>
      <w:r w:rsidR="00D53B68">
        <w:rPr>
          <w:bCs/>
        </w:rPr>
        <w:t>zł</w:t>
      </w:r>
    </w:p>
    <w:p w14:paraId="6689E78B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53849E35" w14:textId="77777777" w:rsidR="009A4AD0" w:rsidRDefault="00665E1D" w:rsidP="00E63EB0">
      <w:pPr>
        <w:spacing w:after="120" w:line="276" w:lineRule="auto"/>
        <w:jc w:val="center"/>
        <w:rPr>
          <w:bCs/>
        </w:rPr>
      </w:pPr>
      <w:r>
        <w:rPr>
          <w:bCs/>
        </w:rPr>
        <w:t xml:space="preserve">Nr konkursu </w:t>
      </w:r>
      <w:r w:rsidR="00766E7F">
        <w:rPr>
          <w:bCs/>
        </w:rPr>
        <w:t>3</w:t>
      </w:r>
    </w:p>
    <w:p w14:paraId="21B62CF9" w14:textId="77777777" w:rsidR="009A4AD0" w:rsidRPr="00E63EB0" w:rsidRDefault="009A4AD0" w:rsidP="00E63EB0">
      <w:pPr>
        <w:spacing w:after="120" w:line="276" w:lineRule="auto"/>
        <w:jc w:val="center"/>
        <w:rPr>
          <w:bCs/>
          <w:i/>
        </w:rPr>
      </w:pPr>
    </w:p>
    <w:p w14:paraId="64E81E80" w14:textId="77777777" w:rsidR="00993DA2" w:rsidRPr="00E63EB0" w:rsidRDefault="00A90D76" w:rsidP="00C81B2C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</w:t>
      </w:r>
      <w:r w:rsidR="00766E7F">
        <w:rPr>
          <w:b/>
          <w:bCs/>
          <w:iCs/>
        </w:rPr>
        <w:t>8</w:t>
      </w:r>
    </w:p>
    <w:p w14:paraId="37E710BB" w14:textId="1EE31ED6" w:rsidR="008F7778" w:rsidRPr="00E63EB0" w:rsidRDefault="00E27531" w:rsidP="00E63EB0">
      <w:pPr>
        <w:spacing w:after="12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31.07</w:t>
      </w:r>
      <w:bookmarkStart w:id="0" w:name="_GoBack"/>
      <w:bookmarkEnd w:id="0"/>
      <w:r w:rsidR="00B02C49">
        <w:rPr>
          <w:b/>
          <w:bCs/>
          <w:i/>
          <w:iCs/>
        </w:rPr>
        <w:t>.2018</w:t>
      </w:r>
    </w:p>
    <w:p w14:paraId="3679B5EB" w14:textId="77777777" w:rsidR="009A4AD0" w:rsidRPr="009A4AD0" w:rsidRDefault="009A4AD0" w:rsidP="009A4AD0">
      <w:pPr>
        <w:spacing w:before="120" w:after="120"/>
        <w:jc w:val="center"/>
        <w:rPr>
          <w:b/>
          <w:bCs/>
          <w:i/>
          <w:iCs/>
        </w:rPr>
      </w:pPr>
      <w:r w:rsidRPr="009A4AD0">
        <w:rPr>
          <w:bCs/>
          <w:i/>
          <w:iCs/>
        </w:rPr>
        <w:t>data zatwierdzenia regulaminu przez IZ</w:t>
      </w:r>
    </w:p>
    <w:p w14:paraId="7644C5FE" w14:textId="77777777" w:rsidR="004865C8" w:rsidRPr="00E63EB0" w:rsidRDefault="004865C8" w:rsidP="00E63EB0">
      <w:pPr>
        <w:spacing w:after="120" w:line="276" w:lineRule="auto"/>
        <w:jc w:val="center"/>
        <w:rPr>
          <w:bCs/>
          <w:iCs/>
        </w:rPr>
      </w:pPr>
    </w:p>
    <w:p w14:paraId="476CA85E" w14:textId="77777777"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14:paraId="2E840B2C" w14:textId="77777777"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6B4EF88" w14:textId="77777777" w:rsidR="000A5FFD" w:rsidRDefault="0093187B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lastRenderedPageBreak/>
        <w:t>§</w:t>
      </w:r>
      <w:r w:rsidR="00475206" w:rsidRPr="00427BC1">
        <w:rPr>
          <w:rFonts w:eastAsia="Calibri"/>
          <w:sz w:val="24"/>
          <w:szCs w:val="24"/>
          <w:lang w:eastAsia="en-US"/>
        </w:rPr>
        <w:t xml:space="preserve"> </w:t>
      </w:r>
      <w:r w:rsidRPr="00427BC1">
        <w:rPr>
          <w:rFonts w:eastAsia="Calibri"/>
          <w:sz w:val="24"/>
          <w:szCs w:val="24"/>
          <w:lang w:eastAsia="en-US"/>
        </w:rPr>
        <w:t>1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0A5FFD" w:rsidRPr="00427BC1">
        <w:rPr>
          <w:rFonts w:eastAsia="Calibri"/>
          <w:sz w:val="24"/>
          <w:szCs w:val="24"/>
          <w:lang w:eastAsia="en-US"/>
        </w:rPr>
        <w:t>Podstawy prawne</w:t>
      </w:r>
    </w:p>
    <w:p w14:paraId="28171638" w14:textId="77777777" w:rsidR="00CE679B" w:rsidRPr="00CE679B" w:rsidRDefault="00CE679B" w:rsidP="009C69BA">
      <w:pPr>
        <w:rPr>
          <w:rFonts w:eastAsia="Calibri"/>
          <w:lang w:eastAsia="en-US"/>
        </w:rPr>
      </w:pPr>
    </w:p>
    <w:p w14:paraId="6655EF73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09CFEDB7" w14:textId="1ED7F547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 z 2017 r. poz. 1460, z późn. zm.), zwanej „</w:t>
      </w:r>
      <w:r w:rsidRPr="00DF046B">
        <w:rPr>
          <w:rFonts w:eastAsia="Calibri"/>
          <w:b/>
          <w:lang w:eastAsia="en-US"/>
        </w:rPr>
        <w:t>ustawą wdrożeniową</w:t>
      </w:r>
      <w:r w:rsidRPr="00DA0132">
        <w:rPr>
          <w:rFonts w:eastAsia="Calibri"/>
          <w:lang w:eastAsia="en-US"/>
        </w:rPr>
        <w:t>”;</w:t>
      </w:r>
    </w:p>
    <w:p w14:paraId="08DF3E48" w14:textId="77777777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>Wytycznych w zakresie trybów wyboru projektów na lata 2014-2020;</w:t>
      </w:r>
    </w:p>
    <w:p w14:paraId="7764F77E" w14:textId="77777777" w:rsidR="00604713" w:rsidRPr="002A13E3" w:rsidRDefault="00604713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14:paraId="77778479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3F21FEC8" w14:textId="77777777" w:rsidR="00604713" w:rsidRDefault="0060471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</w:t>
      </w:r>
      <w:r w:rsidR="001C2B4B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grudnia 201</w:t>
      </w:r>
      <w:r w:rsidR="001C2B4B">
        <w:rPr>
          <w:rFonts w:eastAsia="Calibri"/>
          <w:lang w:eastAsia="en-US"/>
        </w:rPr>
        <w:t xml:space="preserve">4 </w:t>
      </w:r>
      <w:r w:rsidRPr="002A13E3">
        <w:rPr>
          <w:rFonts w:eastAsia="Calibri"/>
          <w:lang w:eastAsia="en-US"/>
        </w:rPr>
        <w:t>r.,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16381CFE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pisem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si </w:t>
      </w:r>
      <w:r w:rsidR="00DA0132">
        <w:rPr>
          <w:rFonts w:eastAsia="Calibri"/>
          <w:lang w:eastAsia="en-US"/>
        </w:rPr>
        <w:t>P</w:t>
      </w:r>
      <w:r w:rsidRPr="002A13E3">
        <w:rPr>
          <w:rFonts w:eastAsia="Calibri"/>
          <w:lang w:eastAsia="en-US"/>
        </w:rPr>
        <w:t xml:space="preserve">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01BD0A0E" w14:textId="77777777" w:rsidR="00DA0132" w:rsidRDefault="00DA0132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4C375D07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DA0132">
        <w:rPr>
          <w:rFonts w:eastAsia="Calibri"/>
          <w:lang w:eastAsia="en-US"/>
        </w:rPr>
        <w:t>8</w:t>
      </w:r>
      <w:r w:rsidRPr="002A13E3">
        <w:rPr>
          <w:rFonts w:eastAsia="Calibri"/>
          <w:lang w:eastAsia="en-US"/>
        </w:rPr>
        <w:t xml:space="preserve"> r. poz. </w:t>
      </w:r>
      <w:r w:rsidR="00DA0132">
        <w:rPr>
          <w:rFonts w:eastAsia="Calibri"/>
          <w:lang w:eastAsia="en-US"/>
        </w:rPr>
        <w:t>110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02F8BA41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DA013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DA0132">
        <w:rPr>
          <w:rFonts w:eastAsia="Calibri"/>
          <w:lang w:eastAsia="en-US"/>
        </w:rPr>
        <w:t>2077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1B0DF887" w14:textId="1847F890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</w:t>
      </w:r>
      <w:r w:rsidR="00456FFE">
        <w:rPr>
          <w:rFonts w:eastAsia="Calibri"/>
          <w:lang w:eastAsia="en-US"/>
        </w:rPr>
        <w:t>pomocy publicznej (Dz. U. z 201</w:t>
      </w:r>
      <w:r w:rsidR="0059626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596267">
        <w:rPr>
          <w:rFonts w:eastAsia="Calibri"/>
          <w:lang w:eastAsia="en-US"/>
        </w:rPr>
        <w:t>362</w:t>
      </w:r>
      <w:r w:rsidRPr="002A13E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040D45" w14:textId="77777777" w:rsidR="00E44A23" w:rsidRPr="00A07080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</w:t>
      </w:r>
      <w:r w:rsidR="00382057">
        <w:rPr>
          <w:rFonts w:eastAsia="Calibri"/>
          <w:lang w:eastAsia="en-US"/>
        </w:rPr>
        <w:t>7</w:t>
      </w:r>
      <w:r w:rsidRPr="009661DB">
        <w:rPr>
          <w:rFonts w:eastAsia="Calibri"/>
          <w:lang w:eastAsia="en-US"/>
        </w:rPr>
        <w:t xml:space="preserve"> r. poz. </w:t>
      </w:r>
      <w:r w:rsidR="00382057">
        <w:rPr>
          <w:rFonts w:eastAsia="Calibri"/>
          <w:lang w:eastAsia="en-US"/>
        </w:rPr>
        <w:t>570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707DB959" w14:textId="09A484C0" w:rsidR="002678A0" w:rsidRPr="002A13E3" w:rsidRDefault="00FE50DD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656C6B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>
        <w:rPr>
          <w:rFonts w:eastAsia="Calibri"/>
          <w:lang w:eastAsia="en-US"/>
        </w:rPr>
        <w:br/>
      </w:r>
      <w:r w:rsidR="002678A0">
        <w:rPr>
          <w:rFonts w:eastAsia="Calibri"/>
          <w:lang w:eastAsia="en-US"/>
        </w:rPr>
        <w:t>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 xml:space="preserve">. </w:t>
      </w:r>
      <w:r w:rsidR="00596267">
        <w:rPr>
          <w:rFonts w:eastAsia="Calibri"/>
          <w:lang w:eastAsia="en-US"/>
        </w:rPr>
        <w:t>z 201</w:t>
      </w:r>
      <w:r w:rsidR="00FF05FA">
        <w:rPr>
          <w:rFonts w:eastAsia="Calibri"/>
          <w:lang w:eastAsia="en-US"/>
        </w:rPr>
        <w:t>8</w:t>
      </w:r>
      <w:r w:rsidR="00596267">
        <w:rPr>
          <w:rFonts w:eastAsia="Calibri"/>
          <w:lang w:eastAsia="en-US"/>
        </w:rPr>
        <w:t xml:space="preserve"> r. </w:t>
      </w:r>
      <w:r w:rsidR="00201046">
        <w:rPr>
          <w:rFonts w:eastAsia="Calibri"/>
          <w:lang w:eastAsia="en-US"/>
        </w:rPr>
        <w:t xml:space="preserve">poz. </w:t>
      </w:r>
      <w:r w:rsidR="00FF05FA">
        <w:rPr>
          <w:rFonts w:eastAsia="Calibri"/>
          <w:lang w:eastAsia="en-US"/>
        </w:rPr>
        <w:t>737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223C8EC3" w14:textId="706E6443" w:rsidR="007118DE" w:rsidRDefault="007118DE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</w:pPr>
      <w:r w:rsidRPr="00F72414">
        <w:rPr>
          <w:rFonts w:eastAsia="Calibri"/>
          <w:lang w:eastAsia="en-US"/>
        </w:rPr>
        <w:t>wytyczny</w:t>
      </w:r>
      <w:r w:rsidRPr="00AD781E">
        <w:rPr>
          <w:rFonts w:eastAsia="Calibri"/>
          <w:lang w:eastAsia="en-US"/>
        </w:rPr>
        <w:t xml:space="preserve">mi w zakresie kwalifikowalności wydatków w ramach Europejskiego Funduszu Rozwoju Regionalnego, Europejskiego Funduszu Społecznego oraz Funduszu Spójności na lata 2014-2020 zwanymi </w:t>
      </w:r>
      <w:r w:rsidRPr="00F72414">
        <w:rPr>
          <w:rFonts w:eastAsia="Calibri"/>
          <w:b/>
          <w:lang w:eastAsia="en-US"/>
        </w:rPr>
        <w:t>„wytycznymi w zakresie kwalifikowalności”</w:t>
      </w:r>
      <w:r w:rsidR="00EC3BC5">
        <w:rPr>
          <w:rFonts w:eastAsia="Calibri"/>
          <w:lang w:eastAsia="en-US"/>
        </w:rPr>
        <w:t>.</w:t>
      </w:r>
    </w:p>
    <w:p w14:paraId="083D89F6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BE261E8" w14:textId="24128360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1303/2013 z dnia </w:t>
      </w:r>
      <w:r w:rsidRPr="007118DE">
        <w:rPr>
          <w:rFonts w:eastAsia="Calibri"/>
          <w:lang w:eastAsia="en-US"/>
        </w:rPr>
        <w:br/>
        <w:t xml:space="preserve">17 grudnia 2013 r. ustanawiającym wspólne przepisy dotyczące Europejskiego Funduszu Rozwoju Regionalnego, Europejskiego Funduszu Społecznego, Funduszu </w:t>
      </w:r>
      <w:r w:rsidRPr="007118DE">
        <w:rPr>
          <w:rFonts w:eastAsia="Calibri"/>
          <w:lang w:eastAsia="en-US"/>
        </w:rPr>
        <w:lastRenderedPageBreak/>
        <w:t>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późn. zm.), zwanym </w:t>
      </w:r>
      <w:r w:rsidRPr="007118DE">
        <w:rPr>
          <w:rFonts w:eastAsia="Calibri"/>
          <w:b/>
          <w:lang w:eastAsia="en-US"/>
        </w:rPr>
        <w:t>„rozporządzeniem nr 1303/2013”</w:t>
      </w:r>
      <w:r w:rsidRPr="007118DE">
        <w:rPr>
          <w:rFonts w:eastAsia="Calibri"/>
          <w:lang w:eastAsia="en-US"/>
        </w:rPr>
        <w:t>;</w:t>
      </w:r>
    </w:p>
    <w:p w14:paraId="76D2DC51" w14:textId="77777777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1301/2013 z dnia </w:t>
      </w:r>
      <w:r w:rsidRPr="007118DE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7118DE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7118DE">
        <w:rPr>
          <w:rFonts w:eastAsia="Calibri"/>
          <w:lang w:eastAsia="en-US"/>
        </w:rPr>
        <w:br/>
        <w:t>i zatrudnienia” oraz w sprawie uchylenia rozporządzenia (WE) nr 1080/2006 (Dz. Urz. UE L 347 z 20.12.2013 r., str. 289), zwanym „</w:t>
      </w:r>
      <w:r w:rsidRPr="007118DE">
        <w:rPr>
          <w:rFonts w:eastAsia="Calibri"/>
          <w:b/>
          <w:lang w:eastAsia="en-US"/>
        </w:rPr>
        <w:t>rozporządzeniem nr 1301/2013”</w:t>
      </w:r>
      <w:r w:rsidRPr="007118DE">
        <w:rPr>
          <w:rFonts w:eastAsia="Calibri"/>
          <w:lang w:eastAsia="en-US"/>
        </w:rPr>
        <w:t>;</w:t>
      </w:r>
    </w:p>
    <w:p w14:paraId="125B03DE" w14:textId="1F864B7B" w:rsidR="007118DE" w:rsidRP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późn. zm.), zwanym „</w:t>
      </w:r>
      <w:r w:rsidRPr="007118DE">
        <w:rPr>
          <w:rFonts w:eastAsia="Calibri"/>
          <w:b/>
          <w:lang w:eastAsia="en-US"/>
        </w:rPr>
        <w:t>rozporządzeniem KE nr 651/2014</w:t>
      </w:r>
      <w:r w:rsidRPr="007118DE">
        <w:rPr>
          <w:rFonts w:eastAsia="Calibri"/>
          <w:lang w:eastAsia="en-US"/>
        </w:rPr>
        <w:t>”;</w:t>
      </w:r>
    </w:p>
    <w:p w14:paraId="48B0199D" w14:textId="77777777" w:rsidR="007118DE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>
        <w:rPr>
          <w:rFonts w:eastAsia="Calibri"/>
          <w:i/>
          <w:lang w:eastAsia="en-US"/>
        </w:rPr>
        <w:t>pomocy de minimis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(Dz. Urz. UE L 352 z 24.12.2013 r., str. 1), zwanym „</w:t>
      </w:r>
      <w:r>
        <w:rPr>
          <w:rFonts w:eastAsia="Calibri"/>
          <w:b/>
          <w:lang w:eastAsia="en-US"/>
        </w:rPr>
        <w:t>rozporządzeniem KE nr 1407/2013</w:t>
      </w:r>
      <w:r>
        <w:rPr>
          <w:rFonts w:eastAsia="Calibri"/>
          <w:lang w:eastAsia="en-US"/>
        </w:rPr>
        <w:t>”;</w:t>
      </w:r>
    </w:p>
    <w:p w14:paraId="26D37E31" w14:textId="7E0A6AE6" w:rsidR="0079282A" w:rsidRPr="00597F80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późn. zm.).</w:t>
      </w:r>
    </w:p>
    <w:p w14:paraId="1A9CF5B2" w14:textId="77777777" w:rsidR="0093187B" w:rsidRDefault="000A5FFD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t>§ 2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333855" w:rsidRPr="00427BC1">
        <w:rPr>
          <w:rFonts w:eastAsia="Calibri"/>
          <w:sz w:val="24"/>
          <w:szCs w:val="24"/>
          <w:lang w:eastAsia="en-US"/>
        </w:rPr>
        <w:t>Określenia i skróty</w:t>
      </w:r>
    </w:p>
    <w:p w14:paraId="128A639E" w14:textId="77777777" w:rsidR="00597F80" w:rsidRPr="00597F80" w:rsidRDefault="00597F80" w:rsidP="00597F80">
      <w:pPr>
        <w:rPr>
          <w:rFonts w:eastAsia="Calibri"/>
          <w:lang w:eastAsia="en-US"/>
        </w:rPr>
      </w:pPr>
    </w:p>
    <w:p w14:paraId="621C4F7B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73220C87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</w:pPr>
      <w:r w:rsidRPr="00D53B68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</w:t>
      </w:r>
      <w:r>
        <w:t xml:space="preserve">audyt przeprowadzony w ramach Etapu I działania, rozumiany jako </w:t>
      </w:r>
      <w:r w:rsidRPr="008B391B">
        <w:t xml:space="preserve">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="00C732C5">
        <w:t> </w:t>
      </w:r>
      <w:r w:rsidRPr="008B391B">
        <w:t>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7C4797F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619EDC57" w14:textId="7AAAA70A" w:rsidR="00A16FD7" w:rsidRPr="00AD04FC" w:rsidRDefault="00A16FD7" w:rsidP="007B092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AD04FC">
        <w:rPr>
          <w:b/>
        </w:rPr>
        <w:lastRenderedPageBreak/>
        <w:t>data otrzymania informacji o zatwierdzeniu strategii wzorniczej</w:t>
      </w:r>
      <w:r>
        <w:t xml:space="preserve"> – </w:t>
      </w:r>
      <w:r w:rsidR="0002788E">
        <w:t>dzień</w:t>
      </w:r>
      <w:r w:rsidR="006677D9">
        <w:t xml:space="preserve"> otrzymania przez</w:t>
      </w:r>
      <w:r w:rsidR="0002788E">
        <w:t xml:space="preserve"> beneficjent</w:t>
      </w:r>
      <w:r w:rsidR="006677D9">
        <w:t>a</w:t>
      </w:r>
      <w:r w:rsidR="0002788E">
        <w:t xml:space="preserve"> informacji o zatwierdzeniu wniosku o </w:t>
      </w:r>
      <w:r w:rsidR="0002788E" w:rsidRPr="00B90251">
        <w:t>płatność</w:t>
      </w:r>
      <w:r w:rsidR="0002788E">
        <w:t xml:space="preserve"> złożonego w ramach </w:t>
      </w:r>
      <w:r w:rsidR="00CD3D92">
        <w:br/>
      </w:r>
      <w:r w:rsidR="0002788E">
        <w:t>I Etapu działania 1.4 POPW;</w:t>
      </w:r>
    </w:p>
    <w:p w14:paraId="2677D331" w14:textId="77777777" w:rsidR="009A4AD0" w:rsidRPr="002525CD" w:rsidRDefault="007B0922" w:rsidP="007B092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dni – </w:t>
      </w:r>
      <w:r w:rsidRPr="007B0922">
        <w:rPr>
          <w:rFonts w:eastAsia="Calibri"/>
          <w:lang w:eastAsia="en-US"/>
        </w:rPr>
        <w:t>dni kalendarzowe</w:t>
      </w:r>
      <w:r w:rsidR="009A4AD0">
        <w:t>;</w:t>
      </w:r>
    </w:p>
    <w:p w14:paraId="5DEDD39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C45EB" w14:textId="77777777" w:rsidR="008E0CF8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287302F7" w14:textId="77777777" w:rsidR="007B0922" w:rsidRPr="009D7A49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ekspert – </w:t>
      </w:r>
      <w:r>
        <w:t>osobę, o której mowa w Rozdziale 15a ustawy wdrożeniowej;</w:t>
      </w:r>
    </w:p>
    <w:p w14:paraId="5F459937" w14:textId="7FD72D28" w:rsidR="008E0CF8" w:rsidRPr="00E63EB0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</w:rPr>
        <w:t>Generator Wniosków (GW)–</w:t>
      </w:r>
      <w:r>
        <w:t xml:space="preserve"> </w:t>
      </w:r>
      <w:r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 </w:t>
      </w:r>
      <w:r w:rsidRPr="00A07707">
        <w:rPr>
          <w:rFonts w:eastAsia="Calibri"/>
          <w:lang w:eastAsia="en-US"/>
        </w:rPr>
        <w:t xml:space="preserve">konta </w:t>
      </w:r>
      <w:r>
        <w:rPr>
          <w:rFonts w:eastAsia="Calibri"/>
          <w:lang w:eastAsia="en-US"/>
        </w:rPr>
        <w:t xml:space="preserve">w systemie informatycznym PARP oraz złożenie wniosku o dofinansowanie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konkursie przeprowadzanym w ramach działania</w:t>
      </w:r>
      <w:r w:rsidR="000A5FFD">
        <w:t>;</w:t>
      </w:r>
    </w:p>
    <w:p w14:paraId="0C13CADF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  <w:bCs/>
        </w:rPr>
        <w:t>Instytucja Pośrednicząca (IP)</w:t>
      </w:r>
      <w:r>
        <w:rPr>
          <w:b/>
        </w:rPr>
        <w:t xml:space="preserve"> –</w:t>
      </w:r>
      <w:r>
        <w:t xml:space="preserve"> podmiot, o którym mowa w art. 2 pkt 9 ustawy wdrożeniowej. W przypadku działania funkcję Instytucji Pośredniczącej pełni Polska Agencja Rozwoju Przedsiębiorczości (PARP);</w:t>
      </w:r>
    </w:p>
    <w:p w14:paraId="6E5A7219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3E784B">
        <w:rPr>
          <w:b/>
        </w:rPr>
        <w:t>Instytucja Zarządzająca (IZ)</w:t>
      </w:r>
      <w:r>
        <w:t xml:space="preserve"> – instytucję, o której mowa w art. 2 pkt 11 ustawy wdrożeniowej. W przypadku działania funkcję Instytucji Zarządzającej pełni minister właściwy do spraw rozwoju regionalnego;</w:t>
      </w:r>
    </w:p>
    <w:p w14:paraId="1ED825EA" w14:textId="77777777" w:rsidR="000857CD" w:rsidRDefault="000857CD" w:rsidP="005D1207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5D1207">
        <w:rPr>
          <w:b/>
        </w:rPr>
        <w:t>inwestycja początkowa</w:t>
      </w:r>
      <w:r>
        <w:t xml:space="preserve"> – oznacza inwestycję w rzeczowe aktywa trwałe lub wartości niematerialne i prawne związane ze</w:t>
      </w:r>
      <w:r w:rsidRPr="000857CD">
        <w:t xml:space="preserve"> zwiększeniem zdolności pr</w:t>
      </w:r>
      <w:r>
        <w:t xml:space="preserve">odukcyjnej istniejącego zakładu albo dywersyfikacją produkcji zakładu poprzez wprowadzenie produktów uprzednio nieprodukowanych w zakładzie albo </w:t>
      </w:r>
      <w:r w:rsidRPr="000857CD">
        <w:t>zasadniczą zmianą dotyczącą procesu produkcyjnego istniejącego zakładu</w:t>
      </w:r>
      <w:r>
        <w:t>, w rozumieniu art. 2 pkt 49 lit. a rozporządzenia KE nr 651/2014;</w:t>
      </w:r>
    </w:p>
    <w:p w14:paraId="65334D29" w14:textId="77777777" w:rsidR="0093187B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D18E8">
        <w:rPr>
          <w:rFonts w:eastAsia="Calibri"/>
          <w:b/>
          <w:lang w:eastAsia="en-US"/>
        </w:rPr>
        <w:t>Komisja Oceny Projektów</w:t>
      </w:r>
      <w:r w:rsidRPr="006D18E8">
        <w:rPr>
          <w:rFonts w:eastAsia="Calibri"/>
          <w:lang w:eastAsia="en-US"/>
        </w:rPr>
        <w:t xml:space="preserve"> </w:t>
      </w:r>
      <w:r w:rsidRPr="006D18E8">
        <w:rPr>
          <w:rFonts w:eastAsia="Calibri"/>
          <w:b/>
          <w:lang w:eastAsia="en-US"/>
        </w:rPr>
        <w:t>(KOP)</w:t>
      </w:r>
      <w:r w:rsidRPr="006D18E8">
        <w:rPr>
          <w:rFonts w:eastAsia="Calibri"/>
          <w:lang w:eastAsia="en-US"/>
        </w:rPr>
        <w:t xml:space="preserve"> – komisję, o której mowa w art. 44 ustawy wdrożeniowej</w:t>
      </w:r>
      <w:r>
        <w:rPr>
          <w:rFonts w:eastAsia="Calibri"/>
          <w:lang w:eastAsia="en-US"/>
        </w:rPr>
        <w:t xml:space="preserve">, </w:t>
      </w:r>
      <w:r w:rsidRPr="0052546E">
        <w:rPr>
          <w:rFonts w:eastAsia="Calibri"/>
          <w:lang w:eastAsia="en-US"/>
        </w:rPr>
        <w:t>powołan</w:t>
      </w:r>
      <w:r>
        <w:rPr>
          <w:rFonts w:eastAsia="Calibri"/>
          <w:lang w:eastAsia="en-US"/>
        </w:rPr>
        <w:t>ą</w:t>
      </w:r>
      <w:r w:rsidRPr="0052546E">
        <w:rPr>
          <w:rFonts w:eastAsia="Calibri"/>
          <w:lang w:eastAsia="en-US"/>
        </w:rPr>
        <w:t xml:space="preserve"> do oceny spełnienia kryteriów wyboru projektów </w:t>
      </w:r>
      <w:r>
        <w:rPr>
          <w:rFonts w:eastAsia="Calibri"/>
          <w:lang w:eastAsia="en-US"/>
        </w:rPr>
        <w:t xml:space="preserve">uczestniczących </w:t>
      </w:r>
      <w:r w:rsidRPr="0052546E">
        <w:rPr>
          <w:rFonts w:eastAsia="Calibri"/>
          <w:lang w:eastAsia="en-US"/>
        </w:rPr>
        <w:t>w konkursie</w:t>
      </w:r>
      <w:r>
        <w:rPr>
          <w:rFonts w:eastAsia="Calibri"/>
          <w:lang w:eastAsia="en-US"/>
        </w:rPr>
        <w:t>;</w:t>
      </w:r>
    </w:p>
    <w:p w14:paraId="7C23FED9" w14:textId="77777777" w:rsidR="00BF727D" w:rsidRPr="009D7A49" w:rsidRDefault="00BF727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BF727D">
        <w:rPr>
          <w:b/>
        </w:rPr>
        <w:t xml:space="preserve">makroregion Polski Wschodniej </w:t>
      </w:r>
      <w:r>
        <w:t>– obszar obejmujący następujące województwa: lubelskie, podkarpackie, podlaskie, świętokrzyskie i warmińsko – mazurskie;</w:t>
      </w:r>
    </w:p>
    <w:p w14:paraId="0BF4CCB0" w14:textId="355531C5" w:rsidR="00E63EB0" w:rsidRPr="00E63EB0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>(</w:t>
      </w:r>
      <w:r w:rsidR="007705F5">
        <w:rPr>
          <w:iCs/>
        </w:rPr>
        <w:t>MŚP</w:t>
      </w:r>
      <w:r w:rsidR="006E591F">
        <w:rPr>
          <w:b/>
        </w:rPr>
        <w:t xml:space="preserve">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495D272C" w14:textId="77777777" w:rsidR="0093187B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15B49569" w14:textId="77777777" w:rsidR="002525CD" w:rsidRPr="004B0331" w:rsidRDefault="002525C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4B0331">
        <w:rPr>
          <w:rFonts w:eastAsia="Calibri"/>
          <w:b/>
          <w:lang w:eastAsia="en-US"/>
        </w:rPr>
        <w:t xml:space="preserve">produkt </w:t>
      </w:r>
      <w:r w:rsidRPr="004B0331">
        <w:rPr>
          <w:rFonts w:eastAsia="Calibri"/>
          <w:lang w:eastAsia="en-US"/>
        </w:rPr>
        <w:t xml:space="preserve">– wyrób lub usługa </w:t>
      </w:r>
      <w:r w:rsidR="00456FFE">
        <w:rPr>
          <w:rFonts w:eastAsia="Calibri"/>
          <w:lang w:eastAsia="en-US"/>
        </w:rPr>
        <w:t>wdrożona w wyniku realizacji projektu</w:t>
      </w:r>
      <w:r w:rsidR="00FE50DD" w:rsidRPr="004B0331">
        <w:rPr>
          <w:rFonts w:eastAsia="Calibri"/>
          <w:lang w:eastAsia="en-US"/>
        </w:rPr>
        <w:t>;</w:t>
      </w:r>
    </w:p>
    <w:p w14:paraId="4BD48921" w14:textId="77777777" w:rsidR="0093187B" w:rsidRPr="007B0922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339D825E" w14:textId="77777777" w:rsidR="007B0922" w:rsidRPr="00D53B68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>
        <w:rPr>
          <w:b/>
        </w:rPr>
        <w:t>r</w:t>
      </w:r>
      <w:r w:rsidRPr="00862DFA">
        <w:rPr>
          <w:b/>
        </w:rPr>
        <w:t>unda konkursu</w:t>
      </w:r>
      <w:r>
        <w:t xml:space="preserve"> – </w:t>
      </w:r>
      <w:r w:rsidRPr="00C56456">
        <w:t>rundę, o której mowa w art. 39 ust. 3 ustawy wdrożeniowej</w:t>
      </w:r>
      <w:r>
        <w:t>;</w:t>
      </w:r>
    </w:p>
    <w:p w14:paraId="3C9F1FA6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D53B68">
        <w:rPr>
          <w:b/>
        </w:rPr>
        <w:lastRenderedPageBreak/>
        <w:t>strategia wzornicza</w:t>
      </w:r>
      <w:r>
        <w:t xml:space="preserve"> </w:t>
      </w:r>
      <w:r w:rsidRPr="008B391B">
        <w:t xml:space="preserve">– </w:t>
      </w:r>
      <w:r>
        <w:t xml:space="preserve">strategia opracowana w ramach Etapu I działania rozumiana jako </w:t>
      </w:r>
      <w:r w:rsidRPr="008B391B">
        <w:t>raport z przeprowadzonego audytu wzorniczego zawierający co najmniej następujące elementy:</w:t>
      </w:r>
    </w:p>
    <w:p w14:paraId="3F8DF26E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gólną charakterystykę firmy zawierającą analizę wzorniczą przedsiębiorstwa </w:t>
      </w:r>
      <w:r>
        <w:br/>
      </w:r>
      <w:r w:rsidRPr="008B391B">
        <w:t>w zakresie produktów, technologii, struktury organizacyjnej, procesów komunikacji z klientem, strategii marketingowej,</w:t>
      </w:r>
    </w:p>
    <w:p w14:paraId="439A389B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firmy w zakresie designu zawierający co najmniej informacje odnośnie charakterystyki klientów, opis głównych konkurentów, </w:t>
      </w:r>
    </w:p>
    <w:p w14:paraId="0E7A7990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beneficjenta,</w:t>
      </w:r>
    </w:p>
    <w:p w14:paraId="0B964855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>cenę poziomu wykorzystania wzornictwa w firmie oraz jej potencjału w tym zakresie,</w:t>
      </w:r>
    </w:p>
    <w:p w14:paraId="1F618F24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definiowanie problemów wzorniczych w firmie (przy czym problemy te mogą dotyczyć zarówno produktu, jak i innych procesów biznesowych w firmie),</w:t>
      </w:r>
    </w:p>
    <w:p w14:paraId="7CBD1CA2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 firmie,</w:t>
      </w:r>
    </w:p>
    <w:p w14:paraId="7E007AC5" w14:textId="77777777" w:rsidR="00D53B68" w:rsidRP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firmy</w:t>
      </w:r>
      <w:r w:rsidR="00D12ADE">
        <w:t>;</w:t>
      </w:r>
    </w:p>
    <w:p w14:paraId="7372C496" w14:textId="20632E5B" w:rsidR="007B0922" w:rsidRP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7B0922">
        <w:rPr>
          <w:rFonts w:eastAsia="Calibri"/>
          <w:b/>
          <w:lang w:eastAsia="en-US"/>
        </w:rPr>
        <w:t xml:space="preserve">strona działania </w:t>
      </w:r>
      <w:r>
        <w:rPr>
          <w:rFonts w:eastAsia="Calibri"/>
          <w:b/>
          <w:lang w:eastAsia="en-US"/>
        </w:rPr>
        <w:t>–</w:t>
      </w:r>
      <w:r w:rsidRPr="007B0922">
        <w:rPr>
          <w:rFonts w:eastAsia="Calibri"/>
          <w:b/>
          <w:lang w:eastAsia="en-US"/>
        </w:rPr>
        <w:t xml:space="preserve"> </w:t>
      </w:r>
      <w:r w:rsidRPr="007B0922">
        <w:rPr>
          <w:rFonts w:eastAsia="Calibri"/>
          <w:lang w:eastAsia="en-US"/>
        </w:rPr>
        <w:t>podstronę internetową PARP działająca pod adresem</w:t>
      </w:r>
      <w:r w:rsidR="00597F80">
        <w:rPr>
          <w:rFonts w:eastAsia="Calibri"/>
          <w:lang w:eastAsia="en-US"/>
        </w:rPr>
        <w:t xml:space="preserve"> </w:t>
      </w:r>
      <w:hyperlink r:id="rId10" w:history="1">
        <w:r w:rsidR="00597F80" w:rsidRPr="009C62E3">
          <w:rPr>
            <w:rStyle w:val="Hipercze"/>
            <w:rFonts w:eastAsia="Calibri"/>
            <w:lang w:eastAsia="en-US"/>
          </w:rPr>
          <w:t>https://popw.parp.gov.pl/wzor-na-konkurencje</w:t>
        </w:r>
      </w:hyperlink>
      <w:r w:rsidRPr="007B0922">
        <w:rPr>
          <w:rFonts w:eastAsia="Calibri"/>
          <w:lang w:eastAsia="en-US"/>
        </w:rPr>
        <w:t xml:space="preserve"> zawierając</w:t>
      </w:r>
      <w:r w:rsidR="00256930">
        <w:rPr>
          <w:rFonts w:eastAsia="Calibri"/>
          <w:lang w:eastAsia="en-US"/>
        </w:rPr>
        <w:t>ą</w:t>
      </w:r>
      <w:r w:rsidRPr="007B0922">
        <w:rPr>
          <w:rFonts w:eastAsia="Calibri"/>
          <w:lang w:eastAsia="en-US"/>
        </w:rPr>
        <w:t xml:space="preserve"> informacje pomocnicze </w:t>
      </w:r>
      <w:r w:rsidR="00597F80">
        <w:rPr>
          <w:rFonts w:eastAsia="Calibri"/>
          <w:lang w:eastAsia="en-US"/>
        </w:rPr>
        <w:br/>
      </w:r>
      <w:r w:rsidRPr="007B0922">
        <w:rPr>
          <w:rFonts w:eastAsia="Calibri"/>
          <w:lang w:eastAsia="en-US"/>
        </w:rPr>
        <w:t>w zakresie procedury konkursowej;</w:t>
      </w:r>
    </w:p>
    <w:p w14:paraId="14EC936C" w14:textId="17F62018" w:rsidR="007D3D39" w:rsidRDefault="007D3D39" w:rsidP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 xml:space="preserve">wniosek o dofinansowanie </w:t>
      </w:r>
      <w:r w:rsidRPr="00697FC8">
        <w:rPr>
          <w:rFonts w:eastAsia="Calibr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14:paraId="52E0637C" w14:textId="5839F3B0" w:rsidR="004E5986" w:rsidRPr="00597F80" w:rsidRDefault="007D3D39" w:rsidP="00597F80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>wnioskodawca</w:t>
      </w:r>
      <w:r w:rsidRPr="00697FC8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0555704E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3</w:t>
      </w:r>
      <w:r w:rsidR="00AD04FC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ogólne</w:t>
      </w:r>
    </w:p>
    <w:p w14:paraId="39C21529" w14:textId="77777777" w:rsidR="00597F80" w:rsidRPr="00597F80" w:rsidRDefault="00597F80" w:rsidP="00597F80"/>
    <w:p w14:paraId="65B2A1E8" w14:textId="7CEC418D" w:rsidR="00E93BD4" w:rsidRPr="00E63EB0" w:rsidRDefault="007E0E0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Celem konkursu jest wybór projektów do dofinansowania, które w największym stopniu przyczynią się do osiągnięcia celów POPW oraz celów działania określonych w SZOOP. Do celów tych należy w szczególności</w:t>
      </w:r>
      <w:r w:rsidR="00E93BD4" w:rsidRPr="00E63EB0">
        <w:t xml:space="preserve"> wzmocnienie konkurencyjności przedsiębiorstw </w:t>
      </w:r>
      <w:r w:rsidR="00CD3D92">
        <w:br/>
      </w:r>
      <w:r w:rsidR="00E93BD4" w:rsidRPr="00E63EB0">
        <w:t xml:space="preserve">z sektora </w:t>
      </w:r>
      <w:r w:rsidR="007705F5">
        <w:rPr>
          <w:iCs/>
        </w:rPr>
        <w:t>MŚP</w:t>
      </w:r>
      <w:r w:rsidR="00E93BD4" w:rsidRPr="00E63EB0">
        <w:t xml:space="preserve"> </w:t>
      </w:r>
      <w:r w:rsidR="00962299" w:rsidRPr="00E63EB0">
        <w:t>poprzez</w:t>
      </w:r>
      <w:r w:rsidR="00E93BD4" w:rsidRPr="00E63EB0">
        <w:t xml:space="preserve"> zwiększenie </w:t>
      </w:r>
      <w:r w:rsidR="00962299" w:rsidRPr="00E63EB0">
        <w:t xml:space="preserve">ich </w:t>
      </w:r>
      <w:r w:rsidR="00E93BD4"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0FA1D39" w14:textId="77777777" w:rsidR="005D6E3F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</w:t>
      </w:r>
      <w:r w:rsidR="00D53B68">
        <w:t>stępuje w trybie konkursowym, o</w:t>
      </w:r>
      <w:r w:rsidRPr="00E63EB0">
        <w:t xml:space="preserve"> którym mowa </w:t>
      </w:r>
      <w:r w:rsidR="00463590">
        <w:br/>
      </w:r>
      <w:r w:rsidRPr="00E63EB0">
        <w:t>w art. 38 ust. 1 pkt 1 ustawy wdrożeniowej.</w:t>
      </w:r>
    </w:p>
    <w:p w14:paraId="663FC24F" w14:textId="77777777" w:rsidR="005D6E3F" w:rsidRDefault="005D6E3F" w:rsidP="0098522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Konkurs jest podzielony na 12 rund.</w:t>
      </w:r>
      <w:r w:rsidRPr="00D25CA4">
        <w:t xml:space="preserve"> </w:t>
      </w:r>
    </w:p>
    <w:p w14:paraId="370E5027" w14:textId="42467EE7" w:rsidR="005D6E3F" w:rsidRDefault="005D6E3F" w:rsidP="005D6E3F">
      <w:pPr>
        <w:tabs>
          <w:tab w:val="left" w:pos="360"/>
          <w:tab w:val="left" w:pos="426"/>
        </w:tabs>
        <w:spacing w:after="120" w:line="276" w:lineRule="auto"/>
        <w:ind w:left="426"/>
        <w:jc w:val="both"/>
      </w:pPr>
      <w:r>
        <w:t>Wnioski o dofinansowanie mogą być składane w następujących terminach:</w:t>
      </w:r>
    </w:p>
    <w:p w14:paraId="3B25C0E2" w14:textId="257F4733" w:rsidR="005D6E3F" w:rsidRDefault="005D6E3F" w:rsidP="00985220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I – nabór wniosków o dofinansowanie w terminie od 30.05.2018 r. do 30.06.2018 r.;</w:t>
      </w:r>
    </w:p>
    <w:p w14:paraId="32657A57" w14:textId="77777777" w:rsidR="005D6E3F" w:rsidRDefault="005D6E3F" w:rsidP="00985220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lastRenderedPageBreak/>
        <w:t>dla rundy II – nabór wniosków o dofinansowanie w terminie od 01.07.2018 r. do 31.07.2018 r.;</w:t>
      </w:r>
    </w:p>
    <w:p w14:paraId="7A132615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III – nabór wniosków o dofinansowanie w terminie od 01.08.2018 r. do 31.08.2018 r.;</w:t>
      </w:r>
    </w:p>
    <w:p w14:paraId="4BA8E299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IV – nabór wniosków o dofinansowanie w terminie od 01.09.2018 r. do 30.09.2018 r.;</w:t>
      </w:r>
    </w:p>
    <w:p w14:paraId="2909E1DF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V – nabór wniosków o dofinansowanie w terminie od 01.10.2018 r. do 31.10.2018 r.;</w:t>
      </w:r>
    </w:p>
    <w:p w14:paraId="7B2AFD21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VI – nabór wniosków o dofinansowanie w terminie od 01.11.2018 r. do 30.11.2018 r.;</w:t>
      </w:r>
    </w:p>
    <w:p w14:paraId="3B3DC204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VII – nabór wniosków o dofinansowanie w terminie od </w:t>
      </w:r>
      <w:r w:rsidR="00985220">
        <w:t>01.12.2018 r.</w:t>
      </w:r>
      <w:r>
        <w:t xml:space="preserve"> do </w:t>
      </w:r>
      <w:r w:rsidR="00985220">
        <w:t>31.12.2018 r.;</w:t>
      </w:r>
    </w:p>
    <w:p w14:paraId="4B48E400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</w:t>
      </w:r>
      <w:r w:rsidR="00985220">
        <w:t>VI</w:t>
      </w:r>
      <w:r>
        <w:t xml:space="preserve">II – nabór wniosków o dofinansowanie w terminie od </w:t>
      </w:r>
      <w:r w:rsidR="00985220">
        <w:t>01.01.2019 r.</w:t>
      </w:r>
      <w:r>
        <w:t xml:space="preserve"> do </w:t>
      </w:r>
      <w:r w:rsidR="00985220">
        <w:t>31.01.2019 r.;</w:t>
      </w:r>
    </w:p>
    <w:p w14:paraId="465FB7F4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</w:t>
      </w:r>
      <w:r w:rsidR="00985220">
        <w:t>IX</w:t>
      </w:r>
      <w:r>
        <w:t xml:space="preserve"> – nabór wniosków o dofinansowanie w terminie od </w:t>
      </w:r>
      <w:r w:rsidR="00985220">
        <w:t>01.02.2019 r.</w:t>
      </w:r>
      <w:r>
        <w:t xml:space="preserve"> do </w:t>
      </w:r>
      <w:r w:rsidR="00985220">
        <w:t>28.02.2019 r.;</w:t>
      </w:r>
    </w:p>
    <w:p w14:paraId="6120F151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</w:t>
      </w:r>
      <w:r w:rsidR="00985220">
        <w:t>X</w:t>
      </w:r>
      <w:r>
        <w:t xml:space="preserve"> – nabór wniosków o dofinansowanie w terminie od </w:t>
      </w:r>
      <w:r w:rsidR="00985220">
        <w:t>01.03.2019 r.</w:t>
      </w:r>
      <w:r>
        <w:t xml:space="preserve"> do </w:t>
      </w:r>
      <w:r w:rsidR="00985220">
        <w:t>31.03.2019 r.;</w:t>
      </w:r>
    </w:p>
    <w:p w14:paraId="47D69CEC" w14:textId="77777777" w:rsidR="00985220" w:rsidRDefault="00985220" w:rsidP="00985220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XI – nabór wniosków o dofinansowanie w terminie od 01.04.2019 r. do 30.04.2019 r.;</w:t>
      </w:r>
    </w:p>
    <w:p w14:paraId="0F4EE42D" w14:textId="77777777" w:rsidR="005D6E3F" w:rsidRDefault="00985220" w:rsidP="00985220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XII – nabór wniosków o dofinansowanie w terminie od 01.05.2019 r. do 31.05.2019 r. </w:t>
      </w:r>
      <w:r w:rsidR="005D6E3F">
        <w:t>(w ostatnim dniu naboru do godz. 16:00:00)</w:t>
      </w:r>
      <w:r>
        <w:t xml:space="preserve">. </w:t>
      </w:r>
    </w:p>
    <w:p w14:paraId="60944F0A" w14:textId="77777777" w:rsidR="003B0AE1" w:rsidRDefault="003B0AE1" w:rsidP="00627247">
      <w:pPr>
        <w:spacing w:after="120" w:line="276" w:lineRule="auto"/>
        <w:ind w:left="360"/>
        <w:jc w:val="both"/>
      </w:pPr>
      <w:r>
        <w:t>Termin naboru nie ulegnie skróceniu</w:t>
      </w:r>
      <w:r w:rsidR="00627247">
        <w:t>.</w:t>
      </w:r>
    </w:p>
    <w:p w14:paraId="34A9116B" w14:textId="77777777" w:rsidR="00B34EC6" w:rsidRDefault="00F6528F" w:rsidP="00D53B68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</w:t>
      </w:r>
      <w:r w:rsidR="00D53B68">
        <w:t xml:space="preserve">dofinansowanie projektów w </w:t>
      </w:r>
      <w:r w:rsidR="00435A19">
        <w:t>konkursie</w:t>
      </w:r>
      <w:r w:rsidR="00D53B68">
        <w:t xml:space="preserve"> wynosi </w:t>
      </w:r>
      <w:r w:rsidR="00936365">
        <w:t>2</w:t>
      </w:r>
      <w:r w:rsidR="00B34EC6">
        <w:t xml:space="preserve">50 000 000,00 zł </w:t>
      </w:r>
      <w:r w:rsidR="00B34EC6" w:rsidRPr="00E63EB0">
        <w:t>(słownie</w:t>
      </w:r>
      <w:r w:rsidR="00B34EC6">
        <w:t>:</w:t>
      </w:r>
      <w:r w:rsidR="00B34EC6" w:rsidRPr="00E63EB0">
        <w:t xml:space="preserve"> </w:t>
      </w:r>
      <w:r w:rsidR="00936365">
        <w:t>dwieście</w:t>
      </w:r>
      <w:r w:rsidR="00B34EC6">
        <w:t xml:space="preserve"> pięćdziesiąt</w:t>
      </w:r>
      <w:r w:rsidR="00B34EC6" w:rsidRPr="00E63EB0">
        <w:t xml:space="preserve"> milionów złotych</w:t>
      </w:r>
      <w:r w:rsidR="008D0EB3">
        <w:t>)</w:t>
      </w:r>
      <w:r w:rsidR="00D53B68">
        <w:t>.</w:t>
      </w:r>
    </w:p>
    <w:p w14:paraId="550E0718" w14:textId="77777777" w:rsidR="003F4B76" w:rsidRDefault="003F4B76" w:rsidP="003F4B76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Kwota środków przeznaczona na dofinansowanie może ulec zwiększeniu, </w:t>
      </w:r>
      <w:r w:rsidRPr="00FA6E26">
        <w:t xml:space="preserve">o czym PARP poinformuje </w:t>
      </w:r>
      <w:r>
        <w:t xml:space="preserve">zgodnie z </w:t>
      </w:r>
      <w:r w:rsidRPr="00FA6E26">
        <w:t>§</w:t>
      </w:r>
      <w:r>
        <w:t xml:space="preserve"> </w:t>
      </w:r>
      <w:r w:rsidRPr="0023248B">
        <w:t>15 ust. 2.</w:t>
      </w:r>
      <w:r>
        <w:t xml:space="preserve"> </w:t>
      </w:r>
    </w:p>
    <w:p w14:paraId="1632F9AA" w14:textId="0E9BBF54" w:rsidR="00463590" w:rsidRPr="0079282A" w:rsidRDefault="003F4B76" w:rsidP="001450E7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Ilekroć w regulaminie mowa jest o adresie poczty elektronicznej wnioskodawcy, oznacza to adres poczty elektronicznej służący do korespondencji wskazany w części</w:t>
      </w:r>
      <w:r w:rsidR="001450E7">
        <w:t xml:space="preserve"> III</w:t>
      </w:r>
      <w:r>
        <w:t xml:space="preserve"> wniosku </w:t>
      </w:r>
      <w:r w:rsidR="00CD3D92">
        <w:br/>
      </w:r>
      <w:r>
        <w:t xml:space="preserve">o dofinansowanie. </w:t>
      </w:r>
    </w:p>
    <w:p w14:paraId="3CA0AF59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4</w:t>
      </w:r>
      <w:r w:rsidR="00AD04FC" w:rsidRPr="00427BC1">
        <w:rPr>
          <w:sz w:val="24"/>
          <w:szCs w:val="24"/>
        </w:rPr>
        <w:t>. Warunki uczestnictwa w konkursie</w:t>
      </w:r>
    </w:p>
    <w:p w14:paraId="7B73B2D5" w14:textId="77777777" w:rsidR="00597F80" w:rsidRPr="00597F80" w:rsidRDefault="00597F80" w:rsidP="00597F80"/>
    <w:p w14:paraId="20A09CDA" w14:textId="77777777" w:rsidR="00AD04FC" w:rsidRDefault="00AD04FC" w:rsidP="00AD04FC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>Wniosek o dofinansowanie uznaje się za złożony, jeśli spełnia następujące warunki:</w:t>
      </w:r>
    </w:p>
    <w:p w14:paraId="4CAE1A41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 xml:space="preserve">został złożony w terminie, o którym mowa w § 3 ust. 3; </w:t>
      </w:r>
    </w:p>
    <w:p w14:paraId="4E321F42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jc w:val="both"/>
      </w:pPr>
      <w:r>
        <w:t>został złożony w konkursie nr 3 rok 2018 w ramach działania;</w:t>
      </w:r>
    </w:p>
    <w:p w14:paraId="73E5F32D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>został złożony zgodnie z zasadami określonymi w § 6.</w:t>
      </w:r>
    </w:p>
    <w:p w14:paraId="57AEFB22" w14:textId="0060246C" w:rsidR="00F6528F" w:rsidRDefault="00AD04FC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>Dofinansowanie mogą otrzymać</w:t>
      </w:r>
      <w:r w:rsidRPr="003B2D7C">
        <w:t xml:space="preserve"> </w:t>
      </w:r>
      <w:r>
        <w:t xml:space="preserve">projekty dotyczące </w:t>
      </w:r>
      <w:r w:rsidR="0059641D">
        <w:t xml:space="preserve">wdrożenia </w:t>
      </w:r>
      <w:r>
        <w:t xml:space="preserve">rekomendacji wskazanych w </w:t>
      </w:r>
      <w:r w:rsidR="00D53B68" w:rsidRPr="009D7A49">
        <w:t xml:space="preserve">strategii wzorniczej opracowanej w ramach </w:t>
      </w:r>
      <w:r w:rsidR="00D53B68">
        <w:t>Etapu I, tj. przeprowadzenia</w:t>
      </w:r>
      <w:r w:rsidR="00D53B68" w:rsidRPr="009D7A49">
        <w:t xml:space="preserve"> działań </w:t>
      </w:r>
      <w:r w:rsidR="00B02C49">
        <w:br/>
      </w:r>
      <w:r w:rsidR="00D53B68" w:rsidRPr="009D7A49">
        <w:t>z wykorzystaniem procesów projektowania, których końcowym rezultatem będzie wprowadzenie na rynek innowacji.</w:t>
      </w:r>
      <w:r w:rsidR="00F6528F" w:rsidRPr="00E63EB0">
        <w:t xml:space="preserve"> </w:t>
      </w:r>
    </w:p>
    <w:p w14:paraId="6EE535DE" w14:textId="77777777" w:rsidR="009E495F" w:rsidRPr="00E63EB0" w:rsidRDefault="009E495F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 w:rsidRPr="00E63EB0">
        <w:lastRenderedPageBreak/>
        <w:t xml:space="preserve">O dofinansowanie </w:t>
      </w:r>
      <w:r w:rsidR="00E01FA7">
        <w:t xml:space="preserve">w ramach działania </w:t>
      </w:r>
      <w:r w:rsidRPr="00E63EB0">
        <w:t>mogą ubiegać się</w:t>
      </w:r>
      <w:r w:rsidR="00435A19">
        <w:t xml:space="preserve"> wyłącznie</w:t>
      </w:r>
      <w:r w:rsidRPr="00E63EB0">
        <w:t xml:space="preserve"> mikro</w:t>
      </w:r>
      <w:r w:rsidR="00D76EBF">
        <w:t>przedsiębiorcy</w:t>
      </w:r>
      <w:r w:rsidRPr="00E63EB0">
        <w:t xml:space="preserve">, mali </w:t>
      </w:r>
      <w:r w:rsidR="006B6E8F">
        <w:t>lub</w:t>
      </w:r>
      <w:r w:rsidRPr="00E63EB0">
        <w:t xml:space="preserve"> średni przedsiębiorcy, </w:t>
      </w:r>
      <w:r w:rsidR="00D53B68" w:rsidRPr="00E63EB0">
        <w:t xml:space="preserve">prowadzący działalność gospodarczą na terytorium </w:t>
      </w:r>
      <w:r w:rsidR="009B6CB8">
        <w:t xml:space="preserve">makroregionu </w:t>
      </w:r>
      <w:r w:rsidR="00D53B68" w:rsidRPr="00E63EB0">
        <w:t>Polski Wschodniej</w:t>
      </w:r>
      <w:r w:rsidR="000C0D1E">
        <w:t xml:space="preserve"> </w:t>
      </w:r>
      <w:r w:rsidR="00D53B68" w:rsidRPr="00E63EB0">
        <w:t>potwierdzoną wpisem do odpowiedniego rejestru</w:t>
      </w:r>
      <w:r w:rsidR="005F1DF6">
        <w:t>,</w:t>
      </w:r>
      <w:r w:rsidR="00D53B68" w:rsidRPr="00E63EB0">
        <w:t xml:space="preserve"> </w:t>
      </w:r>
      <w:r w:rsidRPr="00E63EB0">
        <w:t xml:space="preserve">którzy </w:t>
      </w:r>
      <w:r w:rsidR="009F725D">
        <w:t xml:space="preserve">prawidłowo wykorzystali pomoc finansową otrzymaną w </w:t>
      </w:r>
      <w:r w:rsidRPr="00E63EB0">
        <w:t>ramach Etapu</w:t>
      </w:r>
      <w:r>
        <w:t xml:space="preserve"> I </w:t>
      </w:r>
      <w:r w:rsidR="009F725D">
        <w:t xml:space="preserve">tzn. zrealizowali zakres rzeczowy i finansowy projektu oraz złożyli wniosek o płatność końcową </w:t>
      </w:r>
      <w:r w:rsidR="004242EC">
        <w:t xml:space="preserve">wraz </w:t>
      </w:r>
      <w:r w:rsidR="009F725D">
        <w:t>ze strategi</w:t>
      </w:r>
      <w:r w:rsidR="00EA22D7">
        <w:t>ą</w:t>
      </w:r>
      <w:r w:rsidR="009F725D">
        <w:t xml:space="preserve"> wzorniczą, które zostały zatwierdzone. </w:t>
      </w:r>
    </w:p>
    <w:p w14:paraId="6A5082C7" w14:textId="77777777" w:rsidR="00E01FA7" w:rsidRDefault="00563D6B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>Dofinansowanie stanowi</w:t>
      </w:r>
      <w:r w:rsidR="00E01FA7">
        <w:t>:</w:t>
      </w:r>
    </w:p>
    <w:p w14:paraId="2DB5F352" w14:textId="77777777" w:rsidR="00E01FA7" w:rsidRDefault="00E01FA7" w:rsidP="00FA4B2E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6D3DA7">
        <w:rPr>
          <w:b/>
          <w:iCs/>
        </w:rPr>
        <w:t>regionalną pomoc inwestycyjną</w:t>
      </w:r>
      <w:r w:rsidRPr="006D3DA7">
        <w:rPr>
          <w:iCs/>
        </w:rPr>
        <w:t xml:space="preserve"> </w:t>
      </w:r>
      <w:r>
        <w:t>zgodnie z przepisami</w:t>
      </w:r>
      <w:r w:rsidRPr="00811D92">
        <w:t xml:space="preserve"> rozdziału I, art. 13 i 14 </w:t>
      </w:r>
      <w:r w:rsidRPr="00B46067">
        <w:t>rozdziału III oraz rozdziału IV rozporządzenia KE nr 651/2014</w:t>
      </w:r>
      <w:r>
        <w:t xml:space="preserve">, w zakresie wydatków o których mowa w </w:t>
      </w:r>
      <w:r w:rsidR="001450E7" w:rsidRPr="00E63EB0">
        <w:rPr>
          <w:b/>
        </w:rPr>
        <w:t>§</w:t>
      </w:r>
      <w:r w:rsidR="001450E7">
        <w:rPr>
          <w:b/>
        </w:rPr>
        <w:t xml:space="preserve"> </w:t>
      </w:r>
      <w:r w:rsidR="001450E7" w:rsidRPr="00E63EB0">
        <w:rPr>
          <w:b/>
        </w:rPr>
        <w:t>5</w:t>
      </w:r>
      <w:r w:rsidR="001450E7">
        <w:rPr>
          <w:b/>
        </w:rPr>
        <w:t xml:space="preserve"> ust. 7</w:t>
      </w:r>
      <w:r w:rsidR="001450E7" w:rsidRPr="00DF046B">
        <w:t>;</w:t>
      </w:r>
    </w:p>
    <w:p w14:paraId="38446143" w14:textId="77777777" w:rsidR="004D694F" w:rsidRDefault="00017C86" w:rsidP="00FA4B2E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6D3DA7">
        <w:rPr>
          <w:b/>
        </w:rPr>
        <w:t>pomoc na usługi doradcze</w:t>
      </w:r>
      <w:r w:rsidRPr="00E63EB0">
        <w:t xml:space="preserve"> na rzecz M</w:t>
      </w:r>
      <w:r w:rsidR="00CD34A6">
        <w:t>Ś</w:t>
      </w:r>
      <w:r w:rsidRPr="00E63EB0">
        <w:t xml:space="preserve">P, </w:t>
      </w:r>
      <w:r w:rsidR="00563D6B">
        <w:t xml:space="preserve">udzielaną </w:t>
      </w:r>
      <w:r w:rsidR="004D694F">
        <w:t xml:space="preserve">zgodnie </w:t>
      </w:r>
      <w:r w:rsidR="00563D6B">
        <w:br/>
      </w:r>
      <w:r w:rsidR="004D694F">
        <w:t xml:space="preserve">z </w:t>
      </w:r>
      <w:r w:rsidR="004D694F" w:rsidRPr="00811D92">
        <w:t>przepis</w:t>
      </w:r>
      <w:r w:rsidR="004D694F">
        <w:t>ami</w:t>
      </w:r>
      <w:r w:rsidR="004D694F" w:rsidRPr="00811D92">
        <w:t xml:space="preserve"> rozdziału I, art. 18 rozdziału III oraz rozdziału IV rozporządzeni</w:t>
      </w:r>
      <w:r w:rsidR="004D694F">
        <w:t>a</w:t>
      </w:r>
      <w:r w:rsidR="004D694F" w:rsidRPr="00811D92">
        <w:t xml:space="preserve"> KE nr </w:t>
      </w:r>
      <w:r w:rsidR="004D694F">
        <w:t>651/</w:t>
      </w:r>
      <w:r w:rsidR="004D694F" w:rsidRPr="004B0331">
        <w:t>2014</w:t>
      </w:r>
      <w:r w:rsidR="00E01FA7">
        <w:t xml:space="preserve">, w zakresie wydatków o których mowa w </w:t>
      </w:r>
      <w:r w:rsidR="001450E7" w:rsidRPr="00E63EB0">
        <w:rPr>
          <w:b/>
        </w:rPr>
        <w:t>§</w:t>
      </w:r>
      <w:r w:rsidR="001450E7">
        <w:rPr>
          <w:b/>
        </w:rPr>
        <w:t xml:space="preserve"> </w:t>
      </w:r>
      <w:r w:rsidR="001450E7" w:rsidRPr="00E63EB0">
        <w:rPr>
          <w:b/>
        </w:rPr>
        <w:t>5</w:t>
      </w:r>
      <w:r w:rsidR="001450E7">
        <w:rPr>
          <w:b/>
        </w:rPr>
        <w:t xml:space="preserve"> ust. 8</w:t>
      </w:r>
      <w:r w:rsidR="00E01FA7" w:rsidRPr="00DF046B">
        <w:rPr>
          <w:b/>
        </w:rPr>
        <w:t>;</w:t>
      </w:r>
    </w:p>
    <w:p w14:paraId="32542454" w14:textId="29566004" w:rsidR="00E01FA7" w:rsidRPr="00B46067" w:rsidRDefault="00E01FA7" w:rsidP="00FA4B2E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4469A6">
        <w:rPr>
          <w:b/>
          <w:bCs/>
        </w:rPr>
        <w:t>pomoc de minimis</w:t>
      </w:r>
      <w:r w:rsidRPr="006D3DA7">
        <w:rPr>
          <w:bCs/>
        </w:rPr>
        <w:t>, udzielaną zgodnie z rozporządzeniem KE nr 1407/2013</w:t>
      </w:r>
      <w:r w:rsidR="001450E7">
        <w:rPr>
          <w:bCs/>
        </w:rPr>
        <w:t xml:space="preserve"> </w:t>
      </w:r>
      <w:r w:rsidR="00CD3D92">
        <w:rPr>
          <w:bCs/>
        </w:rPr>
        <w:br/>
      </w:r>
      <w:r w:rsidR="001450E7">
        <w:rPr>
          <w:bCs/>
        </w:rPr>
        <w:t xml:space="preserve">w zakresie wydatków, o których mowa w </w:t>
      </w:r>
      <w:r w:rsidR="001450E7" w:rsidRPr="00E63EB0">
        <w:rPr>
          <w:b/>
        </w:rPr>
        <w:t>§</w:t>
      </w:r>
      <w:r w:rsidR="001450E7">
        <w:rPr>
          <w:b/>
        </w:rPr>
        <w:t xml:space="preserve"> </w:t>
      </w:r>
      <w:r w:rsidR="001450E7" w:rsidRPr="00E63EB0">
        <w:rPr>
          <w:b/>
        </w:rPr>
        <w:t>5</w:t>
      </w:r>
      <w:r w:rsidR="001450E7">
        <w:rPr>
          <w:b/>
        </w:rPr>
        <w:t xml:space="preserve"> ust. 9</w:t>
      </w:r>
      <w:r>
        <w:rPr>
          <w:bCs/>
        </w:rPr>
        <w:t>.</w:t>
      </w:r>
    </w:p>
    <w:p w14:paraId="61026DF3" w14:textId="7B78C892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rPr>
          <w:rFonts w:eastAsiaTheme="minorHAnsi"/>
          <w:color w:val="000000"/>
          <w:lang w:eastAsia="en-US"/>
        </w:rPr>
        <w:t>Wnioskodawcy oraz projekty powinni spełniać kryteria wyboru projektów obowiązujące dla działania, zatwierdzone przez Komitet Monitorujący POPW, wskazane w załączniku nr 1 do regulaminu.</w:t>
      </w:r>
    </w:p>
    <w:p w14:paraId="3540EF66" w14:textId="77777777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172CFA05" w14:textId="77777777" w:rsidR="00E01FA7" w:rsidRDefault="00E01FA7" w:rsidP="00FA4B2E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jc w:val="both"/>
      </w:pPr>
      <w:r>
        <w:rPr>
          <w:iCs/>
        </w:rPr>
        <w:t>realizacja projektu nie może rozpocząć się przed dniem złożenia wniosku ani w dniu złożenia wniosku o dofinansowanie;</w:t>
      </w:r>
    </w:p>
    <w:p w14:paraId="33803CC0" w14:textId="77777777" w:rsidR="00E01FA7" w:rsidRPr="004469A6" w:rsidRDefault="00E01FA7" w:rsidP="00FA4B2E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jc w:val="both"/>
        <w:rPr>
          <w:iCs/>
        </w:rPr>
      </w:pPr>
      <w:r w:rsidRPr="004469A6">
        <w:rPr>
          <w:iCs/>
        </w:rPr>
        <w:t xml:space="preserve">okres realizacji projektu nie może być dłuższy niż </w:t>
      </w:r>
      <w:r w:rsidR="004469A6" w:rsidRPr="004469A6">
        <w:rPr>
          <w:iCs/>
        </w:rPr>
        <w:t>18</w:t>
      </w:r>
      <w:r w:rsidRPr="004469A6">
        <w:rPr>
          <w:iCs/>
        </w:rPr>
        <w:t xml:space="preserve"> miesięcy</w:t>
      </w:r>
      <w:r w:rsidR="00F0391E">
        <w:rPr>
          <w:iCs/>
        </w:rPr>
        <w:t xml:space="preserve"> licząc od dnia rozpoczęcia realizacji projektu</w:t>
      </w:r>
      <w:r w:rsidRPr="004469A6">
        <w:rPr>
          <w:iCs/>
        </w:rPr>
        <w:t>;</w:t>
      </w:r>
    </w:p>
    <w:p w14:paraId="59A76EA9" w14:textId="63B387D1" w:rsidR="00587C4B" w:rsidRPr="00597F80" w:rsidRDefault="00E01FA7" w:rsidP="00FA4B2E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jc w:val="both"/>
        <w:rPr>
          <w:iCs/>
        </w:rPr>
      </w:pPr>
      <w:r>
        <w:rPr>
          <w:iCs/>
        </w:rPr>
        <w:t>okres realizacji projektu nie może wykraczać poza końcową datę okresu kwalifikowalności kosztów w ramach POPW</w:t>
      </w:r>
      <w:r w:rsidR="00256930">
        <w:rPr>
          <w:iCs/>
        </w:rPr>
        <w:t>,</w:t>
      </w:r>
      <w:r>
        <w:rPr>
          <w:iCs/>
        </w:rPr>
        <w:t xml:space="preserve"> tj. 31 grudnia 2023 r.</w:t>
      </w:r>
    </w:p>
    <w:p w14:paraId="074D2C3B" w14:textId="77777777" w:rsidR="005E61DE" w:rsidRDefault="005E61DE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35ED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5</w:t>
      </w:r>
      <w:r w:rsidR="009B63A6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Zasady finansowania projektów</w:t>
      </w:r>
    </w:p>
    <w:p w14:paraId="36A676F3" w14:textId="77777777" w:rsidR="00597F80" w:rsidRPr="00597F80" w:rsidRDefault="00597F80" w:rsidP="00597F80"/>
    <w:p w14:paraId="2B2E25DD" w14:textId="77777777" w:rsidR="000B7518" w:rsidRPr="00E63EB0" w:rsidRDefault="000B7518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 xml:space="preserve">dofinansowania </w:t>
      </w:r>
      <w:r w:rsidR="007705F5">
        <w:t xml:space="preserve">projektu </w:t>
      </w:r>
      <w:r w:rsidR="00AE2D2E">
        <w:t>dla</w:t>
      </w:r>
      <w:r w:rsidR="00D616AC">
        <w:t xml:space="preserve"> </w:t>
      </w:r>
      <w:r w:rsidR="007705F5">
        <w:t>jednego wnioskodawc</w:t>
      </w:r>
      <w:r w:rsidR="00AE2D2E">
        <w:t>y</w:t>
      </w:r>
      <w:r w:rsidR="007705F5">
        <w:t xml:space="preserve"> w II Etapie działania </w:t>
      </w:r>
      <w:r w:rsidRPr="00E63EB0">
        <w:t>wynosi 3 mln zł</w:t>
      </w:r>
      <w:r w:rsidR="007705F5">
        <w:t xml:space="preserve"> (słownie: trzy miliony złotych)</w:t>
      </w:r>
      <w:r w:rsidR="004469A6">
        <w:t xml:space="preserve"> w przypadku </w:t>
      </w:r>
      <w:r w:rsidR="004469A6" w:rsidRPr="004469A6">
        <w:t xml:space="preserve">wdrażania innowacji produktowej lub 1 </w:t>
      </w:r>
      <w:r w:rsidR="004469A6">
        <w:t>mln</w:t>
      </w:r>
      <w:r w:rsidR="004469A6" w:rsidRPr="004469A6">
        <w:t xml:space="preserve"> </w:t>
      </w:r>
      <w:r w:rsidR="004469A6">
        <w:t xml:space="preserve">zł (słownie: jeden milion złotych) </w:t>
      </w:r>
      <w:r w:rsidR="004469A6" w:rsidRPr="004469A6">
        <w:t>w przypadku wdrażania innowacji innych niż produktowa</w:t>
      </w:r>
      <w:r w:rsidR="004469A6">
        <w:t>.</w:t>
      </w:r>
    </w:p>
    <w:p w14:paraId="246F641B" w14:textId="77777777" w:rsidR="008C77D4" w:rsidRPr="00C348FD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840D14">
        <w:rPr>
          <w:b/>
          <w:iCs/>
        </w:rPr>
        <w:t>Maksymalna intensywność regionalnej pomocy inwestycyjnej</w:t>
      </w:r>
      <w:r>
        <w:rPr>
          <w:iCs/>
        </w:rPr>
        <w:t xml:space="preserve"> jest określona w</w:t>
      </w:r>
      <w:r w:rsidRPr="009A69EC">
        <w:rPr>
          <w:iCs/>
        </w:rPr>
        <w:t xml:space="preserve"> §</w:t>
      </w:r>
      <w:r>
        <w:rPr>
          <w:iCs/>
        </w:rPr>
        <w:t> </w:t>
      </w:r>
      <w:r w:rsidRPr="009A69EC">
        <w:rPr>
          <w:iCs/>
        </w:rPr>
        <w:t>3 i §</w:t>
      </w:r>
      <w:r>
        <w:rPr>
          <w:iCs/>
        </w:rPr>
        <w:t> </w:t>
      </w:r>
      <w:r w:rsidRPr="009A69EC">
        <w:rPr>
          <w:iCs/>
        </w:rPr>
        <w:t>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2020.</w:t>
      </w:r>
    </w:p>
    <w:p w14:paraId="60602AF6" w14:textId="77777777" w:rsidR="008C77D4" w:rsidRPr="00694BFA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40D14">
        <w:rPr>
          <w:b/>
        </w:rPr>
        <w:t>Maksymalna intensywność pomocy na usługi doradcze</w:t>
      </w:r>
      <w:r w:rsidRPr="00A03554">
        <w:t>, o których mowa w ust</w:t>
      </w:r>
      <w:r w:rsidRPr="006F0239">
        <w:t xml:space="preserve">. </w:t>
      </w:r>
      <w:r w:rsidR="007053DB">
        <w:t>8</w:t>
      </w:r>
      <w:r w:rsidRPr="006F0239">
        <w:t xml:space="preserve"> </w:t>
      </w:r>
      <w:r w:rsidRPr="00A03554">
        <w:t>wynosi 50% kosztów kwalifikowalnych.</w:t>
      </w:r>
    </w:p>
    <w:p w14:paraId="645D0053" w14:textId="5CF8F18C" w:rsidR="008C77D4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40D14">
        <w:rPr>
          <w:b/>
        </w:rPr>
        <w:t xml:space="preserve">Maksymalna intensywność pomocy </w:t>
      </w:r>
      <w:r w:rsidRPr="00840D14">
        <w:rPr>
          <w:b/>
          <w:i/>
        </w:rPr>
        <w:t>de minimis</w:t>
      </w:r>
      <w:r w:rsidRPr="00603F12">
        <w:t xml:space="preserve"> na koszty</w:t>
      </w:r>
      <w:r>
        <w:t xml:space="preserve">, o których mowa w ust. </w:t>
      </w:r>
      <w:r w:rsidR="0035287D">
        <w:t>9</w:t>
      </w:r>
      <w:r>
        <w:t xml:space="preserve">, dla projektów, w których jednocześnie występuje regionalna pomoc inwestycyjna </w:t>
      </w:r>
      <w:r w:rsidRPr="00603F12">
        <w:t xml:space="preserve">określana jest </w:t>
      </w:r>
      <w:r>
        <w:t>zgodnie z</w:t>
      </w:r>
      <w:r w:rsidRPr="00603F12">
        <w:t xml:space="preserve"> intensywnoś</w:t>
      </w:r>
      <w:r>
        <w:t>cią</w:t>
      </w:r>
      <w:r w:rsidRPr="00603F12">
        <w:t xml:space="preserve"> regionalnej pomocy inwestycyjnej, o której mowa w § 3 </w:t>
      </w:r>
      <w:r w:rsidR="00CD3D92">
        <w:br/>
      </w:r>
      <w:r w:rsidRPr="00603F12">
        <w:t xml:space="preserve">i § 5 rozporządzenia Rady Ministrów z dnia 30 czerwca 2014 r. w sprawie ustalenia mapy </w:t>
      </w:r>
      <w:r w:rsidRPr="00603F12">
        <w:lastRenderedPageBreak/>
        <w:t>pomocy regionalnej na lata 2014-2020 (Dz. U. poz. 878</w:t>
      </w:r>
      <w:r>
        <w:t>).</w:t>
      </w:r>
    </w:p>
    <w:p w14:paraId="5EE24BA3" w14:textId="23355E03" w:rsidR="004813AC" w:rsidRDefault="008C77D4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>
        <w:t>W przypadku pozostałych projektów</w:t>
      </w:r>
      <w:r w:rsidRPr="00DF046B">
        <w:t>,</w:t>
      </w:r>
      <w:r w:rsidRPr="00840D14">
        <w:rPr>
          <w:b/>
        </w:rPr>
        <w:t xml:space="preserve"> maksymalna intensywność pomocy </w:t>
      </w:r>
      <w:r w:rsidRPr="00840D14">
        <w:rPr>
          <w:b/>
          <w:i/>
        </w:rPr>
        <w:t>de minimis</w:t>
      </w:r>
      <w:r w:rsidRPr="00D806D5">
        <w:t xml:space="preserve"> na koszty</w:t>
      </w:r>
      <w:r>
        <w:t xml:space="preserve">, o których mowa w ust. </w:t>
      </w:r>
      <w:r w:rsidR="0035287D">
        <w:t>9</w:t>
      </w:r>
      <w:r>
        <w:t>, wynosi 50%</w:t>
      </w:r>
      <w:r w:rsidRPr="00200940">
        <w:t xml:space="preserve"> </w:t>
      </w:r>
      <w:r w:rsidRPr="00263948">
        <w:t>kosztów kwalifikowalnych</w:t>
      </w:r>
      <w:r w:rsidR="00256930">
        <w:t>.</w:t>
      </w:r>
    </w:p>
    <w:p w14:paraId="2A7CA41A" w14:textId="77777777" w:rsidR="008C7ABD" w:rsidRPr="00E63EB0" w:rsidRDefault="00C348FD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 w:rsidRPr="00E63EB0">
        <w:t>Do kosztów kwalifikowalnych</w:t>
      </w:r>
      <w:r w:rsidR="00A123D7">
        <w:t xml:space="preserve"> </w:t>
      </w:r>
      <w:r w:rsidR="00435A19">
        <w:t xml:space="preserve">zalicza się koszty </w:t>
      </w:r>
      <w:r w:rsidR="00D43C34">
        <w:t xml:space="preserve">wynikające bezpośrednio </w:t>
      </w:r>
      <w:r w:rsidRPr="00E63EB0">
        <w:t>z</w:t>
      </w:r>
      <w:r w:rsidR="00D43C34">
        <w:t>e</w:t>
      </w:r>
      <w:r w:rsidRPr="00E63EB0">
        <w:t xml:space="preserve"> strategii wzorniczej opracowanej w ramach I Etapu</w:t>
      </w:r>
      <w:r w:rsidR="00F0716C">
        <w:t xml:space="preserve"> działania</w:t>
      </w:r>
      <w:r w:rsidR="00A123D7">
        <w:t xml:space="preserve">, niezbędne do realizacji projektu oraz </w:t>
      </w:r>
      <w:r w:rsidR="008F1A6F">
        <w:t xml:space="preserve">koszty </w:t>
      </w:r>
      <w:r w:rsidR="008F1A6F" w:rsidRPr="00A123D7">
        <w:rPr>
          <w:rFonts w:eastAsiaTheme="minorHAnsi"/>
          <w:lang w:eastAsia="en-US"/>
        </w:rPr>
        <w:t>ustanowienia i utrzymania zabezpieczenia dla zaliczki wypłaconej na rzecz MŚP.</w:t>
      </w:r>
    </w:p>
    <w:p w14:paraId="0AB044E7" w14:textId="77777777" w:rsidR="00C348FD" w:rsidRPr="00CA646D" w:rsidRDefault="00C348FD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bCs/>
          <w:iCs/>
        </w:rPr>
      </w:pPr>
      <w:r>
        <w:rPr>
          <w:iCs/>
        </w:rPr>
        <w:t xml:space="preserve">Do kosztów kwalifikowalnych w zakresie </w:t>
      </w:r>
      <w:r w:rsidRPr="00603F12">
        <w:rPr>
          <w:b/>
          <w:iCs/>
        </w:rPr>
        <w:t>regionalnej pomocy inwestycyjnej</w:t>
      </w:r>
      <w:r>
        <w:rPr>
          <w:iCs/>
        </w:rPr>
        <w:t xml:space="preserve"> zalicza się </w:t>
      </w:r>
      <w:r w:rsidRPr="002C6EC9">
        <w:rPr>
          <w:bCs/>
          <w:iCs/>
        </w:rPr>
        <w:t>koszty</w:t>
      </w:r>
      <w:r w:rsidR="00CA646D">
        <w:rPr>
          <w:bCs/>
          <w:iCs/>
        </w:rPr>
        <w:t xml:space="preserve"> </w:t>
      </w:r>
      <w:r w:rsidR="00CA646D" w:rsidRPr="00CA646D">
        <w:rPr>
          <w:bCs/>
          <w:iCs/>
        </w:rPr>
        <w:t>realizacji inwestycji początkowej</w:t>
      </w:r>
      <w:r w:rsidR="00E51ECF">
        <w:rPr>
          <w:rStyle w:val="Odwoanieprzypisudolnego"/>
          <w:bCs/>
          <w:iCs/>
        </w:rPr>
        <w:footnoteReference w:id="2"/>
      </w:r>
      <w:r w:rsidR="00CA646D" w:rsidRPr="00CA646D">
        <w:rPr>
          <w:bCs/>
          <w:iCs/>
        </w:rPr>
        <w:t xml:space="preserve"> obejmujące</w:t>
      </w:r>
      <w:r w:rsidRPr="00CA646D">
        <w:rPr>
          <w:bCs/>
          <w:iCs/>
        </w:rPr>
        <w:t>:</w:t>
      </w:r>
    </w:p>
    <w:p w14:paraId="27500206" w14:textId="77777777" w:rsidR="000B7518" w:rsidRPr="00E63EB0" w:rsidRDefault="000B7518" w:rsidP="00CE679B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jc w:val="both"/>
      </w:pPr>
      <w:r w:rsidRPr="00E63EB0">
        <w:t>n</w:t>
      </w:r>
      <w:r w:rsidR="00C348FD">
        <w:t>abyci</w:t>
      </w:r>
      <w:r w:rsidR="00CA646D">
        <w:t>e</w:t>
      </w:r>
      <w:r w:rsidRPr="00E63EB0">
        <w:t xml:space="preserve"> środków trwałych innych niż nieruchomości</w:t>
      </w:r>
      <w:r w:rsidR="009D41D6">
        <w:t>;</w:t>
      </w:r>
    </w:p>
    <w:p w14:paraId="436A6B2F" w14:textId="77777777" w:rsidR="0034093F" w:rsidRPr="00E63EB0" w:rsidRDefault="0034093F" w:rsidP="00CE679B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jc w:val="both"/>
      </w:pPr>
      <w:r w:rsidRPr="00E63EB0">
        <w:rPr>
          <w:rFonts w:eastAsiaTheme="minorHAnsi"/>
          <w:color w:val="000000"/>
          <w:lang w:eastAsia="en-US"/>
        </w:rPr>
        <w:t>nabyci</w:t>
      </w:r>
      <w:r w:rsidR="00CA646D">
        <w:rPr>
          <w:rFonts w:eastAsiaTheme="minorHAnsi"/>
          <w:color w:val="000000"/>
          <w:lang w:eastAsia="en-US"/>
        </w:rPr>
        <w:t>e</w:t>
      </w:r>
      <w:r w:rsidRPr="00E63EB0">
        <w:rPr>
          <w:rFonts w:eastAsiaTheme="minorHAnsi"/>
          <w:color w:val="000000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14:paraId="649EBD18" w14:textId="77777777" w:rsidR="0034093F" w:rsidRPr="00E63EB0" w:rsidRDefault="0034093F" w:rsidP="00CE679B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38C92573" w14:textId="77777777" w:rsidR="0034093F" w:rsidRPr="00E63EB0" w:rsidRDefault="0034093F" w:rsidP="00CE679B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17AE7D8E" w14:textId="77777777" w:rsidR="0034093F" w:rsidRPr="00E63EB0" w:rsidRDefault="0034093F" w:rsidP="00CE679B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1C135CB9" w14:textId="77777777" w:rsidR="0034093F" w:rsidRDefault="0034093F" w:rsidP="00CE679B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 w:rsidR="00A07080">
        <w:rPr>
          <w:rFonts w:eastAsiaTheme="minorHAnsi"/>
          <w:color w:val="000000"/>
          <w:lang w:eastAsia="en-US"/>
        </w:rPr>
        <w:t xml:space="preserve">związane z projektem oraz pozostaną </w:t>
      </w:r>
      <w:r w:rsidRPr="00E63EB0">
        <w:rPr>
          <w:rFonts w:eastAsiaTheme="minorHAnsi"/>
          <w:color w:val="000000"/>
          <w:lang w:eastAsia="en-US"/>
        </w:rPr>
        <w:t>w jego przedsiębiorstwie prz</w:t>
      </w:r>
      <w:r w:rsidR="002B268B">
        <w:rPr>
          <w:rFonts w:eastAsiaTheme="minorHAnsi"/>
          <w:color w:val="000000"/>
          <w:lang w:eastAsia="en-US"/>
        </w:rPr>
        <w:t>ez co najmniej 3 lata od dnia za</w:t>
      </w:r>
      <w:r w:rsidRPr="00E63EB0">
        <w:rPr>
          <w:rFonts w:eastAsiaTheme="minorHAnsi"/>
          <w:color w:val="000000"/>
          <w:lang w:eastAsia="en-US"/>
        </w:rPr>
        <w:t>kończenia realizacji projektu</w:t>
      </w:r>
      <w:r w:rsidR="000261E0">
        <w:rPr>
          <w:rFonts w:eastAsiaTheme="minorHAnsi"/>
          <w:color w:val="000000"/>
          <w:lang w:eastAsia="en-US"/>
        </w:rPr>
        <w:t>.</w:t>
      </w:r>
    </w:p>
    <w:p w14:paraId="2DD8D829" w14:textId="77777777" w:rsidR="008C77D4" w:rsidRPr="00694BFA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</w:t>
      </w:r>
      <w:r w:rsidRPr="00603F12">
        <w:rPr>
          <w:b/>
          <w:iCs/>
        </w:rPr>
        <w:t>pomocy na usługi doradcze</w:t>
      </w:r>
      <w:r>
        <w:rPr>
          <w:iCs/>
        </w:rPr>
        <w:t xml:space="preserve"> na rzecz MŚP</w:t>
      </w:r>
      <w:r w:rsidRPr="002C6EC9">
        <w:rPr>
          <w:iCs/>
        </w:rPr>
        <w:t xml:space="preserve"> </w:t>
      </w:r>
      <w:r>
        <w:rPr>
          <w:iCs/>
        </w:rPr>
        <w:t xml:space="preserve">zalicza się </w:t>
      </w:r>
      <w:r w:rsidRPr="002C6EC9">
        <w:rPr>
          <w:iCs/>
        </w:rPr>
        <w:t>koszty usług doradczych świadczonych przez doradców zewnętrznych</w:t>
      </w:r>
      <w:r>
        <w:rPr>
          <w:iCs/>
        </w:rPr>
        <w:t xml:space="preserve"> </w:t>
      </w:r>
      <w:r w:rsidRPr="00BC6AE5">
        <w:rPr>
          <w:iCs/>
        </w:rPr>
        <w:t>związanych z wdrożeniem strategii wzorniczej</w:t>
      </w:r>
      <w:r>
        <w:rPr>
          <w:iCs/>
        </w:rPr>
        <w:t>, opracowanej w ramach Etapu</w:t>
      </w:r>
      <w:r w:rsidRPr="00E43CF5">
        <w:rPr>
          <w:iCs/>
        </w:rPr>
        <w:t xml:space="preserve"> </w:t>
      </w:r>
      <w:r>
        <w:rPr>
          <w:iCs/>
        </w:rPr>
        <w:t>I.</w:t>
      </w:r>
      <w:r w:rsidRPr="00BC6AE5">
        <w:rPr>
          <w:iCs/>
        </w:rPr>
        <w:t xml:space="preserve"> </w:t>
      </w:r>
      <w:r w:rsidRPr="00694BFA">
        <w:t>Usługi doradcze nie mogą mieć charakteru ciągłego ani okresowego oraz nie mogą być związane z bieżącą działalnością operacyjną MŚP, w szczególności w zakresie doradztwa podatkowego, stałe</w:t>
      </w:r>
      <w:r w:rsidR="00F346D0">
        <w:t>j</w:t>
      </w:r>
      <w:r w:rsidRPr="00694BFA">
        <w:t xml:space="preserve"> obsługi prawnej lub reklamy.</w:t>
      </w:r>
    </w:p>
    <w:p w14:paraId="72E96426" w14:textId="77777777" w:rsidR="00603F12" w:rsidRPr="003F0BAF" w:rsidRDefault="00603F12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Do kosztów kwalifikowanych w zakresie </w:t>
      </w:r>
      <w:r w:rsidRPr="00BB7582">
        <w:rPr>
          <w:rFonts w:eastAsiaTheme="minorHAnsi"/>
          <w:b/>
          <w:color w:val="000000"/>
          <w:lang w:eastAsia="en-US"/>
        </w:rPr>
        <w:t xml:space="preserve">pomocy </w:t>
      </w:r>
      <w:r w:rsidRPr="00BB7582">
        <w:rPr>
          <w:rFonts w:eastAsiaTheme="minorHAnsi"/>
          <w:b/>
          <w:i/>
          <w:color w:val="000000"/>
          <w:lang w:eastAsia="en-US"/>
        </w:rPr>
        <w:t>de minimis</w:t>
      </w:r>
      <w:r>
        <w:rPr>
          <w:rFonts w:eastAsiaTheme="minorHAnsi"/>
          <w:color w:val="000000"/>
          <w:lang w:eastAsia="en-US"/>
        </w:rPr>
        <w:t xml:space="preserve"> zalicza się koszty </w:t>
      </w:r>
      <w:r w:rsidRPr="00A123D7">
        <w:rPr>
          <w:rFonts w:eastAsiaTheme="minorHAnsi"/>
          <w:lang w:eastAsia="en-US"/>
        </w:rPr>
        <w:t>ustanowienia i utrzymania zabezpieczenia</w:t>
      </w:r>
      <w:r w:rsidR="003F0BAF">
        <w:rPr>
          <w:rFonts w:eastAsiaTheme="minorHAnsi"/>
          <w:lang w:eastAsia="en-US"/>
        </w:rPr>
        <w:t xml:space="preserve"> w formie, o której mowa</w:t>
      </w:r>
      <w:r w:rsidR="003F0BAF" w:rsidRPr="003F0BAF">
        <w:rPr>
          <w:rFonts w:eastAsiaTheme="minorHAnsi"/>
          <w:lang w:eastAsia="en-US"/>
        </w:rPr>
        <w:t xml:space="preserve"> w § 33</w:t>
      </w:r>
      <w:r w:rsidR="003F0BAF">
        <w:rPr>
          <w:rFonts w:eastAsiaTheme="minorHAnsi"/>
          <w:lang w:eastAsia="en-US"/>
        </w:rPr>
        <w:t xml:space="preserve"> </w:t>
      </w:r>
      <w:r w:rsidR="003F0BAF" w:rsidRPr="003F0BAF">
        <w:rPr>
          <w:rFonts w:eastAsiaTheme="minorHAnsi"/>
          <w:lang w:eastAsia="en-US"/>
        </w:rPr>
        <w:t>pkt 6</w:t>
      </w:r>
      <w:r w:rsidR="003F0BAF">
        <w:rPr>
          <w:rFonts w:eastAsiaTheme="minorHAnsi"/>
          <w:lang w:eastAsia="en-US"/>
        </w:rPr>
        <w:t xml:space="preserve"> </w:t>
      </w:r>
      <w:r w:rsidR="003F0BAF" w:rsidRPr="003F0BAF">
        <w:rPr>
          <w:rFonts w:eastAsiaTheme="minorHAnsi"/>
          <w:lang w:eastAsia="en-US"/>
        </w:rPr>
        <w:t>rozporządzenia</w:t>
      </w:r>
      <w:r w:rsidR="003F0BAF">
        <w:rPr>
          <w:rFonts w:eastAsiaTheme="minorHAnsi"/>
          <w:lang w:eastAsia="en-US"/>
        </w:rPr>
        <w:t>,</w:t>
      </w:r>
      <w:r w:rsidRPr="003F0BAF">
        <w:rPr>
          <w:rFonts w:eastAsiaTheme="minorHAnsi"/>
          <w:lang w:eastAsia="en-US"/>
        </w:rPr>
        <w:t xml:space="preserve"> dla zaliczki wypłaconej na rzecz MŚP.</w:t>
      </w:r>
    </w:p>
    <w:p w14:paraId="7EB3FC0A" w14:textId="55576345" w:rsidR="00BD47BA" w:rsidRDefault="00BD47BA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</w:pPr>
      <w:r>
        <w:rPr>
          <w:rFonts w:eastAsia="Calibri"/>
          <w:lang w:eastAsia="en-US"/>
        </w:rPr>
        <w:t xml:space="preserve">Pomoc </w:t>
      </w:r>
      <w:r>
        <w:rPr>
          <w:rFonts w:eastAsia="Calibri"/>
          <w:i/>
          <w:lang w:eastAsia="en-US"/>
        </w:rPr>
        <w:t>de minimis</w:t>
      </w:r>
      <w:r>
        <w:rPr>
          <w:rFonts w:eastAsia="Calibri"/>
          <w:lang w:eastAsia="en-US"/>
        </w:rPr>
        <w:t xml:space="preserve"> może być udzielona wnioskodawcy, jeżeli wartość tej pomocy brutto łącznie z wartością innej pomocy </w:t>
      </w:r>
      <w:r>
        <w:rPr>
          <w:rFonts w:eastAsia="Calibri"/>
          <w:i/>
          <w:lang w:eastAsia="en-US"/>
        </w:rPr>
        <w:t>de minimis</w:t>
      </w:r>
      <w:r>
        <w:rPr>
          <w:rFonts w:eastAsia="Calibri"/>
          <w:lang w:eastAsia="en-US"/>
        </w:rPr>
        <w:t xml:space="preserve"> otrzymanej przez jednego przedsiębiorcę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rozumieniu art. 2 ust. 2 rozporządzenia nr 1407/2013, w </w:t>
      </w:r>
      <w:r w:rsidRPr="00A47BEC">
        <w:rPr>
          <w:rFonts w:eastAsia="Calibri"/>
          <w:lang w:eastAsia="en-US"/>
        </w:rPr>
        <w:t>okresie bieżącego roku</w:t>
      </w:r>
      <w:r>
        <w:rPr>
          <w:rFonts w:eastAsia="Calibri"/>
          <w:lang w:eastAsia="en-US"/>
        </w:rPr>
        <w:t xml:space="preserve"> i</w:t>
      </w:r>
      <w:r w:rsidR="00176FDD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59D8FDBF" w14:textId="14883EFC" w:rsidR="00A62BC9" w:rsidRPr="002B268B" w:rsidRDefault="00C348FD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4C5898">
        <w:br/>
      </w:r>
      <w:r w:rsidR="00CA646D">
        <w:lastRenderedPageBreak/>
        <w:t>w szczególności</w:t>
      </w:r>
      <w:r w:rsidR="00A62BC9">
        <w:t>: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 xml:space="preserve">, </w:t>
      </w:r>
      <w:r w:rsidR="00ED10FA">
        <w:rPr>
          <w:iCs/>
        </w:rPr>
        <w:t xml:space="preserve">w § </w:t>
      </w:r>
      <w:r w:rsidR="00ED10FA" w:rsidRPr="00BC6AE5">
        <w:rPr>
          <w:iCs/>
        </w:rPr>
        <w:t>8 rozporządzenia</w:t>
      </w:r>
      <w:r w:rsidR="00ED10FA">
        <w:rPr>
          <w:iCs/>
        </w:rPr>
        <w:t xml:space="preserve">, </w:t>
      </w:r>
      <w:r w:rsidR="00D25342">
        <w:rPr>
          <w:iCs/>
        </w:rPr>
        <w:t xml:space="preserve">w art. 44 ust 3 ustawy </w:t>
      </w:r>
      <w:r w:rsidR="00CD3D92">
        <w:rPr>
          <w:iCs/>
        </w:rPr>
        <w:br/>
      </w:r>
      <w:r w:rsidR="00D25342">
        <w:rPr>
          <w:iCs/>
        </w:rPr>
        <w:t>z dnia 27 sierpnia 2009 r. o finansach publicznych</w:t>
      </w:r>
      <w:r w:rsidR="00A62BC9">
        <w:rPr>
          <w:iCs/>
        </w:rPr>
        <w:t xml:space="preserve"> oraz </w:t>
      </w:r>
      <w:r w:rsidR="00ED10FA">
        <w:rPr>
          <w:rFonts w:eastAsia="Calibri"/>
          <w:lang w:eastAsia="en-US"/>
        </w:rPr>
        <w:t xml:space="preserve">wytycznych </w:t>
      </w:r>
      <w:r w:rsidR="00ED10FA" w:rsidRPr="001D0D3D">
        <w:rPr>
          <w:rFonts w:eastAsia="Calibri"/>
          <w:lang w:eastAsia="en-US"/>
        </w:rPr>
        <w:t>w</w:t>
      </w:r>
      <w:r w:rsidR="00176FDD">
        <w:rPr>
          <w:rFonts w:eastAsia="Calibri"/>
          <w:lang w:eastAsia="en-US"/>
        </w:rPr>
        <w:t> </w:t>
      </w:r>
      <w:r w:rsidR="00ED10FA" w:rsidRPr="001D0D3D">
        <w:rPr>
          <w:rFonts w:eastAsia="Calibri"/>
          <w:lang w:eastAsia="en-US"/>
        </w:rPr>
        <w:t>zakresie kwalifikowalności</w:t>
      </w:r>
      <w:r w:rsidR="006430DE">
        <w:rPr>
          <w:rFonts w:eastAsia="Calibri"/>
          <w:lang w:eastAsia="en-US"/>
        </w:rPr>
        <w:t>.</w:t>
      </w:r>
    </w:p>
    <w:p w14:paraId="748B7ACD" w14:textId="77777777" w:rsidR="00A62BC9" w:rsidRPr="00A54C5E" w:rsidRDefault="00A62BC9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>
        <w:t xml:space="preserve">W przypadku zamówień, do których nie stosuje się ustawy z dnia 29 stycznia 2004 r. Prawo zamówień publicznych (Dz. U. z 2017 r. poz. 1579, z późn.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25F2F253" w14:textId="5357661C" w:rsidR="00F90FB0" w:rsidRPr="00597F80" w:rsidRDefault="00A62BC9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 przypadku publikacji zamówień przeprowadzanych zgodnie z zasadą konkurencyjności, </w:t>
      </w:r>
      <w:r w:rsidR="002A591A">
        <w:t>w</w:t>
      </w:r>
      <w:r>
        <w:t xml:space="preserve">nioskodawca publikuje zapytanie ofertowe na stronie internetowej </w:t>
      </w:r>
      <w:hyperlink r:id="rId11" w:history="1">
        <w:r w:rsidRPr="006D3DA7">
          <w:rPr>
            <w:rStyle w:val="Hipercze"/>
            <w:rFonts w:eastAsia="Calibri"/>
          </w:rPr>
          <w:t>https://bazakonkurencyjnosci.funduszeeuropejskie.gov.pl/</w:t>
        </w:r>
      </w:hyperlink>
      <w:r>
        <w:t xml:space="preserve">. Informację o zmianach zapytania ofertowego, treść pytań dotyczących zapytania ofertowego wraz </w:t>
      </w:r>
      <w:r w:rsidR="00CD3D92">
        <w:br/>
      </w:r>
      <w:r>
        <w:t>z wyjaśnieniami zamawiającego oraz wyniki postępowania upublicznia się w taki sposób, w jaki zostało upublicznione zapytanie ofertowe.</w:t>
      </w:r>
    </w:p>
    <w:p w14:paraId="74472AB3" w14:textId="77777777" w:rsidR="002903C6" w:rsidRDefault="002903C6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C520F7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6</w:t>
      </w:r>
      <w:r w:rsidR="00C539DD" w:rsidRPr="00427BC1">
        <w:rPr>
          <w:sz w:val="24"/>
          <w:szCs w:val="24"/>
        </w:rPr>
        <w:t xml:space="preserve">. </w:t>
      </w:r>
      <w:r w:rsidR="0034347B" w:rsidRPr="00427BC1">
        <w:rPr>
          <w:sz w:val="24"/>
          <w:szCs w:val="24"/>
        </w:rPr>
        <w:t xml:space="preserve">Zasady </w:t>
      </w:r>
      <w:r w:rsidRPr="00427BC1">
        <w:rPr>
          <w:sz w:val="24"/>
          <w:szCs w:val="24"/>
        </w:rPr>
        <w:t xml:space="preserve">składania </w:t>
      </w:r>
      <w:r w:rsidR="00F90FB0" w:rsidRPr="00427BC1">
        <w:rPr>
          <w:sz w:val="24"/>
          <w:szCs w:val="24"/>
        </w:rPr>
        <w:t xml:space="preserve">i wycofywania </w:t>
      </w:r>
      <w:r w:rsidRPr="00427BC1">
        <w:rPr>
          <w:sz w:val="24"/>
          <w:szCs w:val="24"/>
        </w:rPr>
        <w:t>wniosków o dofinansowanie</w:t>
      </w:r>
    </w:p>
    <w:p w14:paraId="693DF8FB" w14:textId="77777777" w:rsidR="00597F80" w:rsidRPr="00597F80" w:rsidRDefault="00597F80" w:rsidP="00597F80"/>
    <w:p w14:paraId="09859B04" w14:textId="77777777" w:rsidR="008024F8" w:rsidRPr="00E63EB0" w:rsidRDefault="00824678" w:rsidP="00C1691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</w:t>
      </w:r>
      <w:r w:rsidR="00C539DD">
        <w:t>GW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F90FB0">
        <w:t>1</w:t>
      </w:r>
      <w:r w:rsidR="00627247">
        <w:t>1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7F22FF">
        <w:t>zgodnie z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7F22F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F90FB0">
        <w:rPr>
          <w:i/>
        </w:rPr>
        <w:t xml:space="preserve"> projektu</w:t>
      </w:r>
      <w:r w:rsidR="006A669C" w:rsidRPr="00E63EB0">
        <w:t xml:space="preserve"> </w:t>
      </w:r>
      <w:r w:rsidR="00477B62">
        <w:t>stanowiąc</w:t>
      </w:r>
      <w:r w:rsidR="007F22FF">
        <w:t>ą</w:t>
      </w:r>
      <w:r w:rsidR="00477B62">
        <w:t xml:space="preserve"> </w:t>
      </w:r>
      <w:r w:rsidR="006A669C" w:rsidRPr="00E63EB0">
        <w:t xml:space="preserve">załącznik nr </w:t>
      </w:r>
      <w:r w:rsidR="0057589F">
        <w:t>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65989628" w14:textId="521B3A35" w:rsidR="00F90FB0" w:rsidRPr="00FD3D27" w:rsidRDefault="00F90FB0" w:rsidP="00A54C5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D3D27">
        <w:t xml:space="preserve">Wniosek o dofinansowanie </w:t>
      </w:r>
      <w:r>
        <w:t xml:space="preserve">powinien </w:t>
      </w:r>
      <w:r w:rsidRPr="00FD3D27">
        <w:t>zostać sporządzony w języku polskim, zgodnie z art. 5 ustawy z dnia 7 października 1999 r. o języku polskim (Dz. U. z 2011 r. Nr 43, poz. 224</w:t>
      </w:r>
      <w:r w:rsidR="009A5E82">
        <w:t>,</w:t>
      </w:r>
      <w:r w:rsidRPr="00FD3D27">
        <w:t xml:space="preserve"> z późn. zm.), z wyjątkiem użycia obcojęzycznych nazw własnych lub</w:t>
      </w:r>
      <w:r w:rsidRPr="00A556D0">
        <w:t xml:space="preserve"> pojedynczych wyrażeń w języku obcym</w:t>
      </w:r>
      <w:r w:rsidRPr="00FD3D27">
        <w:t xml:space="preserve">. Dokumenty sporządzone w języku obcym </w:t>
      </w:r>
      <w:r>
        <w:t xml:space="preserve">powinny </w:t>
      </w:r>
      <w:r w:rsidRPr="00FD3D27">
        <w:t>zostać przetłumaczone na język polski przez tłumacza przysięgłego.</w:t>
      </w:r>
    </w:p>
    <w:p w14:paraId="29C57518" w14:textId="7501905A" w:rsidR="00F90FB0" w:rsidRPr="006D3DA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rPr>
          <w:bCs/>
        </w:rPr>
        <w:t>Z</w:t>
      </w:r>
      <w:r w:rsidRPr="00FD3D27">
        <w:rPr>
          <w:bCs/>
        </w:rPr>
        <w:t xml:space="preserve">łożenie wniosku o dofinansowanie w GW będzie możliwe w okresie naboru wniosków </w:t>
      </w:r>
      <w:r w:rsidR="00CD3D92">
        <w:rPr>
          <w:bCs/>
        </w:rPr>
        <w:br/>
      </w:r>
      <w:r w:rsidRPr="00FD3D27">
        <w:rPr>
          <w:bCs/>
        </w:rPr>
        <w:t>o dofinansowanie</w:t>
      </w:r>
      <w:r>
        <w:rPr>
          <w:bCs/>
        </w:rPr>
        <w:t>,</w:t>
      </w:r>
      <w:r w:rsidRPr="00FD3D27">
        <w:rPr>
          <w:bCs/>
        </w:rPr>
        <w:t xml:space="preserve"> </w:t>
      </w:r>
      <w:r>
        <w:rPr>
          <w:bCs/>
        </w:rPr>
        <w:t xml:space="preserve">o którym mowa </w:t>
      </w:r>
      <w:r w:rsidRPr="00E3603A">
        <w:rPr>
          <w:bCs/>
        </w:rPr>
        <w:t>w § 3 ust. 3.</w:t>
      </w:r>
    </w:p>
    <w:p w14:paraId="1729D72A" w14:textId="77777777" w:rsidR="00F90FB0" w:rsidRPr="00FD3D2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>Z</w:t>
      </w:r>
      <w:r w:rsidRPr="00FD3D27">
        <w:rPr>
          <w:bCs/>
        </w:rPr>
        <w:t>łożenie wniosku o dofinans</w:t>
      </w:r>
      <w:r>
        <w:rPr>
          <w:bCs/>
        </w:rPr>
        <w:t>owanie możliwe będzie wyłącznie</w:t>
      </w:r>
      <w:r w:rsidRPr="00FD3D27">
        <w:rPr>
          <w:bCs/>
        </w:rPr>
        <w:t xml:space="preserve"> przez </w:t>
      </w:r>
      <w:r>
        <w:rPr>
          <w:bCs/>
        </w:rPr>
        <w:t>w</w:t>
      </w:r>
      <w:r w:rsidRPr="00FD3D27">
        <w:rPr>
          <w:bCs/>
        </w:rPr>
        <w:t>nioskodawcę</w:t>
      </w:r>
      <w:r>
        <w:rPr>
          <w:bCs/>
        </w:rPr>
        <w:t xml:space="preserve">, który </w:t>
      </w:r>
      <w:r w:rsidRPr="00FD3D27">
        <w:rPr>
          <w:bCs/>
        </w:rPr>
        <w:t>w GW</w:t>
      </w:r>
      <w:r>
        <w:rPr>
          <w:bCs/>
        </w:rPr>
        <w:t xml:space="preserve"> oświadczy, że</w:t>
      </w:r>
      <w:r w:rsidRPr="00FD3D27">
        <w:rPr>
          <w:bCs/>
        </w:rPr>
        <w:t>:</w:t>
      </w:r>
    </w:p>
    <w:p w14:paraId="3B3017A3" w14:textId="77777777" w:rsidR="00F90FB0" w:rsidRPr="00FD3D27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zapoznał</w:t>
      </w:r>
      <w:r w:rsidRPr="00FD3D27">
        <w:rPr>
          <w:bCs/>
        </w:rPr>
        <w:t xml:space="preserve"> się z </w:t>
      </w:r>
      <w:r>
        <w:rPr>
          <w:bCs/>
        </w:rPr>
        <w:t>r</w:t>
      </w:r>
      <w:r w:rsidRPr="00FD3D27">
        <w:rPr>
          <w:bCs/>
        </w:rPr>
        <w:t xml:space="preserve">egulaminem </w:t>
      </w:r>
      <w:r>
        <w:rPr>
          <w:bCs/>
        </w:rPr>
        <w:t>konkursu i akceptuje jego zasady;</w:t>
      </w:r>
      <w:r w:rsidRPr="00FD3D27">
        <w:rPr>
          <w:bCs/>
        </w:rPr>
        <w:t xml:space="preserve"> </w:t>
      </w:r>
    </w:p>
    <w:p w14:paraId="3F079697" w14:textId="77777777" w:rsidR="00F90FB0" w:rsidRPr="00A926E4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t>jest świadomy</w:t>
      </w:r>
      <w:r w:rsidRPr="00FD3D27">
        <w:t xml:space="preserve"> skutków niezachowania wskazanej w regulaminie</w:t>
      </w:r>
      <w:r>
        <w:t xml:space="preserve"> konkursu</w:t>
      </w:r>
      <w:r w:rsidRPr="00FD3D27">
        <w:t xml:space="preserve"> formy komunikacji.</w:t>
      </w:r>
    </w:p>
    <w:p w14:paraId="2128F88C" w14:textId="5AF5100B" w:rsidR="00F90FB0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Data i czas wygenerowane przez </w:t>
      </w:r>
      <w:r>
        <w:rPr>
          <w:rFonts w:eastAsia="Calibri"/>
          <w:bCs/>
        </w:rPr>
        <w:t xml:space="preserve">GW </w:t>
      </w:r>
      <w:r>
        <w:t xml:space="preserve">po naciśnięciu przycisku „Złóż” są datą i czasem </w:t>
      </w:r>
      <w:r>
        <w:rPr>
          <w:rFonts w:eastAsia="Calibri"/>
          <w:b/>
          <w:bCs/>
        </w:rPr>
        <w:t xml:space="preserve">złożenia wniosku o dofinansowanie, </w:t>
      </w:r>
      <w:r w:rsidRPr="00C634F2">
        <w:rPr>
          <w:rFonts w:eastAsia="Calibri"/>
          <w:bCs/>
        </w:rPr>
        <w:t>odnotowywany</w:t>
      </w:r>
      <w:r>
        <w:rPr>
          <w:rFonts w:eastAsia="Calibri"/>
          <w:bCs/>
        </w:rPr>
        <w:t>mi</w:t>
      </w:r>
      <w:r w:rsidRPr="00C634F2">
        <w:rPr>
          <w:rFonts w:eastAsia="Calibri"/>
          <w:bCs/>
        </w:rPr>
        <w:t xml:space="preserve"> przez serwer PARP.</w:t>
      </w:r>
    </w:p>
    <w:p w14:paraId="48DC66DA" w14:textId="0BB64892" w:rsidR="00627247" w:rsidRPr="00FA4B2E" w:rsidRDefault="00627247" w:rsidP="009C69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Wnioski o dofinansowanie mogą być składane </w:t>
      </w:r>
      <w:r>
        <w:t>nie później niż</w:t>
      </w:r>
      <w:r w:rsidRPr="00E63EB0">
        <w:t xml:space="preserve"> </w:t>
      </w:r>
      <w:r w:rsidR="00596267">
        <w:t xml:space="preserve">w terminie do </w:t>
      </w:r>
      <w:r w:rsidRPr="00E63EB0">
        <w:t>4 miesi</w:t>
      </w:r>
      <w:r w:rsidR="00986549">
        <w:t>ę</w:t>
      </w:r>
      <w:r w:rsidRPr="00E63EB0">
        <w:t>c</w:t>
      </w:r>
      <w:r w:rsidR="00596267">
        <w:t>y</w:t>
      </w:r>
      <w:r w:rsidRPr="00E63EB0">
        <w:t xml:space="preserve"> od daty </w:t>
      </w:r>
      <w:r>
        <w:t xml:space="preserve">otrzymania informacji o zatwierdzeniu strategii wzorniczej opracowanej </w:t>
      </w:r>
      <w:r w:rsidRPr="00E63EB0">
        <w:t>w ramach Etapu I.</w:t>
      </w:r>
      <w:r w:rsidRPr="00C91A14">
        <w:t xml:space="preserve"> </w:t>
      </w:r>
      <w:r w:rsidRPr="00D92C09">
        <w:t xml:space="preserve">W przypadku </w:t>
      </w:r>
      <w:r>
        <w:t>negatywnej oceny</w:t>
      </w:r>
      <w:r w:rsidRPr="00D92C09">
        <w:t xml:space="preserve"> wniosku</w:t>
      </w:r>
      <w:r>
        <w:t xml:space="preserve"> lub pozostawienia wniosku </w:t>
      </w:r>
      <w:r w:rsidR="00CD3D92">
        <w:br/>
      </w:r>
      <w:r>
        <w:t>o dofinansowanie bez rozpatrzenia</w:t>
      </w:r>
      <w:r w:rsidRPr="00D92C09">
        <w:t xml:space="preserve">, wnioskodawca ma możliwość złożenia poprawionego wniosku nie później niż </w:t>
      </w:r>
      <w:r w:rsidR="00596267">
        <w:t xml:space="preserve">w terminie do </w:t>
      </w:r>
      <w:r w:rsidRPr="004469A6">
        <w:t>10 miesięcy</w:t>
      </w:r>
      <w:r w:rsidRPr="00D92C09">
        <w:t xml:space="preserve"> od daty otrzymania informacji </w:t>
      </w:r>
      <w:r w:rsidR="00CD3D92">
        <w:br/>
      </w:r>
      <w:r w:rsidRPr="00D92C09">
        <w:t xml:space="preserve">o </w:t>
      </w:r>
      <w:r w:rsidRPr="00FA4B2E">
        <w:t xml:space="preserve">zatwierdzeniu strategii wzorniczej opracowanej w ramach Etapu I. W przypadku </w:t>
      </w:r>
      <w:r w:rsidRPr="00FA4B2E">
        <w:lastRenderedPageBreak/>
        <w:t xml:space="preserve">złożenia wniosku o dofinansowanie </w:t>
      </w:r>
      <w:r w:rsidR="00596267" w:rsidRPr="00FA4B2E">
        <w:t xml:space="preserve">z przekroczeniem </w:t>
      </w:r>
      <w:r w:rsidRPr="00FA4B2E">
        <w:t xml:space="preserve">ww. terminów, wniosek </w:t>
      </w:r>
      <w:r w:rsidR="00596267" w:rsidRPr="00FA4B2E">
        <w:t xml:space="preserve">będzie </w:t>
      </w:r>
      <w:r w:rsidRPr="00FA4B2E">
        <w:t>pozostawiony bez rozpatrzenia</w:t>
      </w:r>
      <w:r w:rsidR="00596267" w:rsidRPr="00FA4B2E">
        <w:rPr>
          <w:rFonts w:eastAsia="Calibri"/>
          <w:color w:val="000000"/>
        </w:rPr>
        <w:t xml:space="preserve"> i, w konsekwencji, nie zostanie dopuszczony do oceny spełnienia kryteriów wyboru projektów.</w:t>
      </w:r>
      <w:r w:rsidRPr="00FA4B2E">
        <w:t xml:space="preserve"> </w:t>
      </w:r>
    </w:p>
    <w:p w14:paraId="4A6286AC" w14:textId="68D8AA6B" w:rsidR="00F90FB0" w:rsidRPr="00FA4B2E" w:rsidRDefault="00F90FB0" w:rsidP="009C69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A4B2E">
        <w:t xml:space="preserve">Wnioskodawca nie może złożyć wniosku o dofinansowanie dla projektu będącego przedmiotem oceny w ramach konkursu. </w:t>
      </w:r>
      <w:r w:rsidR="00797DA5">
        <w:t xml:space="preserve"> </w:t>
      </w:r>
      <w:r w:rsidRPr="00FA4B2E">
        <w:t xml:space="preserve">W przeciwnym przypadku </w:t>
      </w:r>
      <w:r w:rsidRPr="00FA4B2E">
        <w:rPr>
          <w:rFonts w:eastAsia="Calibri"/>
          <w:lang w:eastAsia="en-US"/>
        </w:rPr>
        <w:t xml:space="preserve">PARP wzywa </w:t>
      </w:r>
      <w:r w:rsidR="002A591A">
        <w:rPr>
          <w:rFonts w:eastAsia="Calibri"/>
          <w:lang w:eastAsia="en-US"/>
        </w:rPr>
        <w:t>w</w:t>
      </w:r>
      <w:r w:rsidRPr="00FA4B2E">
        <w:rPr>
          <w:rFonts w:eastAsia="Calibri"/>
          <w:lang w:eastAsia="en-US"/>
        </w:rPr>
        <w:t xml:space="preserve">nioskodawcę do wycofania jednego z wniosków. Wnioskodawca powinien wycofać jeden z wniosków o dofinansowanie w </w:t>
      </w:r>
      <w:r w:rsidRPr="00FA4B2E">
        <w:rPr>
          <w:rFonts w:eastAsia="Calibri"/>
          <w:color w:val="000000"/>
        </w:rPr>
        <w:t xml:space="preserve">terminie 7 dni od dnia następującego po dniu wysłania przez PARP informacji o wezwaniu. W przypadku braku wycofania jednego </w:t>
      </w:r>
      <w:r w:rsidR="00CD3D92">
        <w:rPr>
          <w:rFonts w:eastAsia="Calibri"/>
          <w:color w:val="000000"/>
        </w:rPr>
        <w:br/>
      </w:r>
      <w:r w:rsidRPr="00FA4B2E">
        <w:rPr>
          <w:rFonts w:eastAsia="Calibri"/>
          <w:color w:val="000000"/>
        </w:rPr>
        <w:t>z wniosków o dofinansowanie, ocenie będzie podlegał wniosek złożony jako pierwszy. Pozostały wniosek zostanie pozostawiony bez rozpatrzenia i, w konsekwencji, nie zostanie dopuszczony do oceny spełnienia kryteriów wyboru projektów.</w:t>
      </w:r>
    </w:p>
    <w:p w14:paraId="40D54748" w14:textId="7E0A9D79" w:rsidR="00F90FB0" w:rsidRPr="00FA4B2E" w:rsidRDefault="00F90FB0" w:rsidP="009C69BA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A4B2E">
        <w:t xml:space="preserve">Wnioskodawca nie może złożyć wniosku o dofinansowanie dla projektu będącego przedmiotem procedury odwoławczej lub postępowania sądowo-administracyjnego, </w:t>
      </w:r>
      <w:r w:rsidR="00CD3D92">
        <w:br/>
      </w:r>
      <w:r w:rsidRPr="00FA4B2E">
        <w:rPr>
          <w:rFonts w:cs="Calibri"/>
          <w:color w:val="000000"/>
        </w:rPr>
        <w:t xml:space="preserve">o których mowa w </w:t>
      </w:r>
      <w:r w:rsidRPr="00FA4B2E">
        <w:rPr>
          <w:color w:val="000000"/>
        </w:rPr>
        <w:t>Rozdziale 15 ustawy wdrożeniowej</w:t>
      </w:r>
      <w:r w:rsidRPr="00FA4B2E">
        <w:t>.</w:t>
      </w:r>
      <w:r w:rsidRPr="00FA4B2E">
        <w:rPr>
          <w:rFonts w:eastAsia="Calibri"/>
        </w:rPr>
        <w:t xml:space="preserve"> </w:t>
      </w:r>
      <w:r w:rsidRPr="00FA4B2E">
        <w:t xml:space="preserve">W przeciwnym przypadku </w:t>
      </w:r>
      <w:r w:rsidRPr="00FA4B2E">
        <w:rPr>
          <w:rFonts w:eastAsia="Calibr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511C63FB" w14:textId="771C6AB0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86549">
        <w:t xml:space="preserve">Wnioskodawca ma możliwość wycofania wniosku o dofinansowanie. W takim przypadku wnioskodawca wycofuje wniosek w GW oraz załącza skan pisma o wycofaniu wniosku o dofinansowanie podpisanego zgodnie z zasadami reprezentowania wnioskodawcy. Datą wycofania wniosku jest data zarejestrowana przez GW. </w:t>
      </w:r>
    </w:p>
    <w:p w14:paraId="49347152" w14:textId="77777777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Wnioskodawca dołącza w GW wersje elektroniczne załączników, zgodnie z Instrukcją wypełniania wniosku o dofinansowanie (wielkość pojedynczego załącznika nie powinna przekraczać 15 MB).</w:t>
      </w:r>
      <w:r w:rsidRPr="00FA4B2E" w:rsidDel="0041104F">
        <w:t xml:space="preserve"> </w:t>
      </w:r>
    </w:p>
    <w:p w14:paraId="7BEC2828" w14:textId="77777777" w:rsidR="00F90FB0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 przypadku zidentyfikowanych przez wnioskodawcę problemów z dołączaniem załączników w GW, wnioskodawca</w:t>
      </w:r>
      <w:r>
        <w:t xml:space="preserve"> zgłasz</w:t>
      </w:r>
      <w:r w:rsidR="00597F80">
        <w:t xml:space="preserve">a problemy za pomocą </w:t>
      </w:r>
      <w:r>
        <w:t>formularza, o którym mowa w ust. 1</w:t>
      </w:r>
      <w:r w:rsidR="00597F80">
        <w:t>3</w:t>
      </w:r>
      <w: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DCD90C6" w14:textId="77777777" w:rsidR="00F90FB0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rFonts w:eastAsia="Calibri"/>
          <w:bCs/>
        </w:rPr>
        <w:t>Złożenie załączników w sposób, o którym mowa w ust. 1</w:t>
      </w:r>
      <w:r w:rsidR="00364B5B">
        <w:rPr>
          <w:rFonts w:eastAsia="Calibri"/>
          <w:bCs/>
        </w:rPr>
        <w:t>1</w:t>
      </w:r>
      <w:r>
        <w:rPr>
          <w:rFonts w:eastAsia="Calibri"/>
          <w:bCs/>
        </w:rPr>
        <w:t xml:space="preserve">, powinno nastąpić w </w:t>
      </w:r>
      <w:r>
        <w:rPr>
          <w:color w:val="000000"/>
        </w:rPr>
        <w:t>terminie 2 dni roboczych od dnia złożenia wniosku o dofinansowanie w GW.</w:t>
      </w:r>
    </w:p>
    <w:p w14:paraId="4237DAB7" w14:textId="77777777" w:rsidR="00F90FB0" w:rsidRPr="00C3116F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W przypadku stwierdzenia błędów związanych z funkcjonowaniem GW wnioskodawca:</w:t>
      </w:r>
    </w:p>
    <w:p w14:paraId="73CE6FB3" w14:textId="77777777" w:rsidR="00F90FB0" w:rsidRPr="00C3116F" w:rsidRDefault="00F90FB0" w:rsidP="00FA4B2E">
      <w:pPr>
        <w:numPr>
          <w:ilvl w:val="1"/>
          <w:numId w:val="3"/>
        </w:numPr>
        <w:spacing w:after="120" w:line="276" w:lineRule="auto"/>
        <w:ind w:left="993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powinien dokonać zgłoszenia błędów za pomocą formularza dostępnego w GW,</w:t>
      </w:r>
    </w:p>
    <w:p w14:paraId="51A02255" w14:textId="77777777" w:rsidR="00F90FB0" w:rsidRPr="00C3116F" w:rsidRDefault="00F90FB0" w:rsidP="009C69BA">
      <w:pPr>
        <w:numPr>
          <w:ilvl w:val="1"/>
          <w:numId w:val="3"/>
        </w:numPr>
        <w:spacing w:line="276" w:lineRule="auto"/>
        <w:ind w:left="992" w:hanging="425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 xml:space="preserve">jest zobowiązany skontaktować się z PARP za pośrednictwem formularza kontaktowego zamieszczonego na stronie działania w przypadku awarii formularza, o którym mowa w pkt 1, </w:t>
      </w:r>
    </w:p>
    <w:p w14:paraId="0751FDE9" w14:textId="77777777" w:rsidR="00F90FB0" w:rsidRPr="00E97A0C" w:rsidRDefault="00F90FB0" w:rsidP="00F90FB0">
      <w:pPr>
        <w:spacing w:after="120" w:line="276" w:lineRule="auto"/>
        <w:ind w:left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pod rygorem pozostawienia zgłoszenia bez rozpatrzenia.</w:t>
      </w:r>
    </w:p>
    <w:p w14:paraId="6F867DC0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593321A" w14:textId="00C6F703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Pozytywne rozpatrzenie zgłoszenia, o którym mowa w ust. 1</w:t>
      </w:r>
      <w:r w:rsidR="00364B5B">
        <w:rPr>
          <w:rFonts w:eastAsia="Calibri"/>
          <w:bCs/>
        </w:rPr>
        <w:t>3</w:t>
      </w:r>
      <w:r>
        <w:rPr>
          <w:rFonts w:eastAsia="Calibri"/>
          <w:bCs/>
        </w:rPr>
        <w:t xml:space="preserve">, możliwe jest jedynie </w:t>
      </w:r>
      <w:r w:rsidR="00CD3D92">
        <w:rPr>
          <w:rFonts w:eastAsia="Calibri"/>
          <w:bCs/>
        </w:rPr>
        <w:br/>
      </w:r>
      <w:r>
        <w:rPr>
          <w:rFonts w:eastAsia="Calibri"/>
          <w:bCs/>
        </w:rPr>
        <w:t>w przypadku, gdy problemy  związane z wadliwym funkcjonowaniem GW nie leżą po stronie wnioskodawcy.</w:t>
      </w:r>
    </w:p>
    <w:p w14:paraId="4AF5D2F5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53AACDBB" w14:textId="77777777" w:rsidR="001E23A9" w:rsidRPr="00597F8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3C4805">
        <w:rPr>
          <w:rFonts w:eastAsia="Calibri"/>
          <w:lang w:eastAsia="en-US"/>
        </w:rPr>
        <w:t xml:space="preserve">Wnioski o dofinansowanie, które nie zostały złożone zgodnie z </w:t>
      </w:r>
      <w:r w:rsidRPr="003C4805">
        <w:rPr>
          <w:color w:val="000000" w:themeColor="text1"/>
        </w:rPr>
        <w:t>§ 4 ust. 1,</w:t>
      </w:r>
      <w:r w:rsidRPr="003C4805">
        <w:rPr>
          <w:rFonts w:eastAsia="Calibri"/>
          <w:lang w:eastAsia="en-US"/>
        </w:rPr>
        <w:t xml:space="preserve"> PARP przechowuje w swoim systemie informatycznym przez okres 12 miesięcy od dnia zakończenia naboru w danym konkursie. Po upływie ww. terminu wnioski zostaną</w:t>
      </w:r>
      <w:r>
        <w:rPr>
          <w:rFonts w:eastAsia="Calibri"/>
          <w:lang w:eastAsia="en-US"/>
        </w:rPr>
        <w:t xml:space="preserve"> trwale usunięte.</w:t>
      </w:r>
    </w:p>
    <w:p w14:paraId="5AA358C5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7</w:t>
      </w:r>
      <w:r w:rsidR="00864023" w:rsidRPr="00427BC1">
        <w:rPr>
          <w:sz w:val="24"/>
          <w:szCs w:val="24"/>
        </w:rPr>
        <w:t>. Warunki formalne i oczywiste omyłki - sposób ich uzupełniania lub poprawiania</w:t>
      </w:r>
    </w:p>
    <w:p w14:paraId="4791759A" w14:textId="77777777" w:rsidR="00597F80" w:rsidRPr="00597F80" w:rsidRDefault="00597F80" w:rsidP="00597F80"/>
    <w:p w14:paraId="32596E56" w14:textId="77777777" w:rsidR="00864023" w:rsidRPr="00B865CB" w:rsidRDefault="00864023" w:rsidP="000374BC">
      <w:pPr>
        <w:pStyle w:val="Akapitzlist"/>
        <w:numPr>
          <w:ilvl w:val="0"/>
          <w:numId w:val="53"/>
        </w:numPr>
        <w:spacing w:after="120" w:line="276" w:lineRule="auto"/>
        <w:ind w:left="426" w:hanging="426"/>
        <w:jc w:val="both"/>
      </w:pPr>
      <w:r>
        <w:t xml:space="preserve">W ramach warunków formalnych ustalane jest czy:  </w:t>
      </w:r>
    </w:p>
    <w:p w14:paraId="2BEAA77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wszystkie pola wniosku o dofinansowanie wymagane </w:t>
      </w:r>
      <w:r>
        <w:rPr>
          <w:rFonts w:eastAsia="Calibri"/>
          <w:lang w:eastAsia="en-US"/>
        </w:rPr>
        <w:t>Instrukcją wypełniania wniosku o dofinansowanie projektu</w:t>
      </w:r>
      <w:r>
        <w:t xml:space="preserve"> zostały wypełnione;</w:t>
      </w:r>
      <w:r w:rsidRPr="000233EC">
        <w:t xml:space="preserve"> </w:t>
      </w:r>
    </w:p>
    <w:p w14:paraId="6427725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wniosek zawiera wszystkie wymagane załączniki, sporządzone na właściwym wzorze, </w:t>
      </w:r>
      <w:r w:rsidRPr="00F52E08">
        <w:t>kompletne</w:t>
      </w:r>
      <w:r>
        <w:t xml:space="preserve"> i czytelne;</w:t>
      </w:r>
    </w:p>
    <w:p w14:paraId="585A8C4F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>i</w:t>
      </w:r>
      <w:r w:rsidRPr="006D16D9">
        <w:t>nformacje</w:t>
      </w:r>
      <w:r>
        <w:t xml:space="preserve"> zawarte we wniosku o dofinansowanie są zgodne z dokumentem rejestrowym</w:t>
      </w:r>
      <w:r w:rsidR="006D3DA7">
        <w:t>;</w:t>
      </w:r>
    </w:p>
    <w:p w14:paraId="4ABB8FA6" w14:textId="77777777" w:rsidR="00864023" w:rsidRDefault="00864023" w:rsidP="000374BC">
      <w:pPr>
        <w:pStyle w:val="Akapitzlist"/>
        <w:numPr>
          <w:ilvl w:val="0"/>
          <w:numId w:val="52"/>
        </w:numPr>
        <w:spacing w:after="120" w:line="276" w:lineRule="auto"/>
        <w:ind w:left="426" w:hanging="426"/>
        <w:jc w:val="both"/>
      </w:pPr>
      <w:r>
        <w:t xml:space="preserve">Z zastrzeżeniem konieczności zachowania terminu rozstrzygnięcia </w:t>
      </w:r>
      <w:r w:rsidRPr="00C64052">
        <w:t>rundy konkursu</w:t>
      </w:r>
      <w:r>
        <w:t xml:space="preserve">, </w:t>
      </w:r>
      <w:r w:rsidR="00597F80">
        <w:br/>
      </w:r>
      <w:r>
        <w:t xml:space="preserve">o którym mowa w </w:t>
      </w:r>
      <w:r w:rsidRPr="00C42116">
        <w:rPr>
          <w:rFonts w:eastAsia="Calibri"/>
          <w:color w:val="000000"/>
        </w:rPr>
        <w:t>§</w:t>
      </w:r>
      <w:r w:rsidR="006D3DA7">
        <w:rPr>
          <w:rFonts w:eastAsia="Calibri"/>
          <w:color w:val="000000"/>
        </w:rPr>
        <w:t xml:space="preserve"> </w:t>
      </w:r>
      <w:r w:rsidRPr="00C42116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1</w:t>
      </w:r>
      <w:r w:rsidRPr="00C42116">
        <w:rPr>
          <w:rFonts w:eastAsia="Calibri"/>
          <w:color w:val="000000"/>
        </w:rPr>
        <w:t xml:space="preserve"> ust. </w:t>
      </w:r>
      <w:r>
        <w:rPr>
          <w:rFonts w:eastAsia="Calibri"/>
          <w:color w:val="000000"/>
        </w:rPr>
        <w:t xml:space="preserve">4, w </w:t>
      </w:r>
      <w:r w:rsidRPr="00637E5E">
        <w:t>przypadku stwierdzenia we wniosku o dofinansowanie</w:t>
      </w:r>
      <w:r>
        <w:t>:</w:t>
      </w:r>
    </w:p>
    <w:p w14:paraId="1882A8F3" w14:textId="6B0AB8C4" w:rsidR="00864023" w:rsidRPr="005053BD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 w:rsidRPr="00637E5E">
        <w:t>braków w zakresie warunków</w:t>
      </w:r>
      <w:r w:rsidRPr="00D47A91">
        <w:rPr>
          <w:rFonts w:eastAsia="Calibri"/>
          <w:lang w:eastAsia="en-US"/>
        </w:rPr>
        <w:t xml:space="preserve"> formalnych - PARP</w:t>
      </w:r>
      <w:r>
        <w:t xml:space="preserve"> </w:t>
      </w:r>
      <w:r w:rsidRPr="00D47A91">
        <w:rPr>
          <w:rFonts w:eastAsia="Calibr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D47A91">
        <w:rPr>
          <w:rFonts w:eastAsia="Calibri"/>
          <w:color w:val="000000"/>
        </w:rPr>
        <w:t xml:space="preserve">w terminie 7 dni od dnia następującego po dniu wysłania przez PARP </w:t>
      </w:r>
      <w:r>
        <w:rPr>
          <w:rFonts w:eastAsia="Calibri"/>
          <w:color w:val="000000"/>
        </w:rPr>
        <w:t>informacji o wezwaniu</w:t>
      </w:r>
      <w:r w:rsidR="006D3DA7">
        <w:rPr>
          <w:rFonts w:eastAsia="Calibri"/>
          <w:color w:val="000000"/>
        </w:rPr>
        <w:t>;</w:t>
      </w:r>
    </w:p>
    <w:p w14:paraId="67983D5A" w14:textId="77777777" w:rsidR="00864023" w:rsidRPr="000E0FAF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>
        <w:t xml:space="preserve">oczywistych omyłek - </w:t>
      </w:r>
      <w:r w:rsidRPr="00015E53">
        <w:rPr>
          <w:rFonts w:eastAsia="Calibri"/>
          <w:lang w:eastAsia="en-US"/>
        </w:rPr>
        <w:t xml:space="preserve">PARP może je poprawić bez konieczności wzywania </w:t>
      </w:r>
      <w:r w:rsidRPr="007B1B59">
        <w:rPr>
          <w:rFonts w:eastAsia="Calibri"/>
          <w:lang w:eastAsia="en-US"/>
        </w:rPr>
        <w:t>wnioskodawcy</w:t>
      </w:r>
      <w:r w:rsidRPr="00015E53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ich poprawienia (w takim przypadku PARP poprawia omyłkę </w:t>
      </w:r>
      <w:r w:rsidR="00597F80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urzędu i informuje o tym w</w:t>
      </w:r>
      <w:r w:rsidRPr="00015E53">
        <w:rPr>
          <w:rFonts w:eastAsia="Calibri"/>
          <w:lang w:eastAsia="en-US"/>
        </w:rPr>
        <w:t xml:space="preserve">nioskodawcę </w:t>
      </w:r>
      <w:r>
        <w:rPr>
          <w:rFonts w:eastAsia="Calibri"/>
          <w:lang w:eastAsia="en-US"/>
        </w:rPr>
        <w:t xml:space="preserve">na </w:t>
      </w:r>
      <w:r w:rsidRPr="000E0FAF">
        <w:rPr>
          <w:rFonts w:eastAsia="Calibri"/>
          <w:lang w:eastAsia="en-US"/>
        </w:rPr>
        <w:t>adres poczty elektronicznej wnioskodawcy</w:t>
      </w:r>
      <w:r>
        <w:rPr>
          <w:rFonts w:eastAsia="Calibri"/>
          <w:lang w:eastAsia="en-US"/>
        </w:rPr>
        <w:t>) albo wezwać wnioskodawcę do ich poprawienia z zastosowaniem trybu, o którym mowa w pkt 1.</w:t>
      </w:r>
    </w:p>
    <w:p w14:paraId="5676A60C" w14:textId="77777777" w:rsid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0D6035">
        <w:rPr>
          <w:rFonts w:eastAsia="Calibri"/>
          <w:lang w:eastAsia="en-US"/>
        </w:rPr>
        <w:t xml:space="preserve">PARP określa zakres niezbędnego uzupełnienia oraz wskazuje omyłki do </w:t>
      </w:r>
      <w:r>
        <w:rPr>
          <w:rFonts w:eastAsia="Calibri"/>
          <w:lang w:eastAsia="en-US"/>
        </w:rPr>
        <w:t>poprawienia</w:t>
      </w:r>
      <w:r w:rsidRPr="000D6035">
        <w:rPr>
          <w:rFonts w:eastAsia="Calibri"/>
          <w:lang w:eastAsia="en-US"/>
        </w:rPr>
        <w:t>.</w:t>
      </w:r>
      <w:r w:rsidR="00597F80">
        <w:rPr>
          <w:rFonts w:eastAsia="Calibri"/>
          <w:lang w:eastAsia="en-US"/>
        </w:rPr>
        <w:t xml:space="preserve"> </w:t>
      </w:r>
      <w:r w:rsidRPr="00D91C5F">
        <w:rPr>
          <w:rFonts w:eastAsia="Calibri"/>
          <w:lang w:eastAsia="en-US"/>
        </w:rPr>
        <w:t xml:space="preserve">Wnioskodawca jest zobowiązany do uzupełnienia lub poprawienia wniosku </w:t>
      </w:r>
      <w:r w:rsidR="00597F80">
        <w:rPr>
          <w:rFonts w:eastAsia="Calibri"/>
          <w:lang w:eastAsia="en-US"/>
        </w:rPr>
        <w:br/>
      </w:r>
      <w:r w:rsidRPr="00D91C5F">
        <w:rPr>
          <w:rFonts w:eastAsia="Calibri"/>
          <w:lang w:eastAsia="en-US"/>
        </w:rPr>
        <w:t>o dofinansowanie w</w:t>
      </w:r>
      <w:r w:rsidRPr="009A32F0">
        <w:rPr>
          <w:rFonts w:eastAsia="Calibri"/>
          <w:lang w:eastAsia="en-US"/>
        </w:rPr>
        <w:t>yłącznie w zakresie wskazanym w wezwaniu</w:t>
      </w:r>
      <w:r>
        <w:rPr>
          <w:rFonts w:eastAsia="Calibri"/>
          <w:lang w:eastAsia="en-US"/>
        </w:rPr>
        <w:t>, przy czym</w:t>
      </w:r>
      <w:r w:rsidRPr="009A32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 w:rsidRPr="009A32F0">
        <w:rPr>
          <w:rFonts w:eastAsia="Calibri"/>
          <w:lang w:eastAsia="en-US"/>
        </w:rPr>
        <w:t>iedopuszczalne jest wprowadzenie zmian innych niż wskazane w wezwaniu.</w:t>
      </w:r>
    </w:p>
    <w:p w14:paraId="20CCF9F8" w14:textId="77777777" w:rsidR="00864023" w:rsidRP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597F80">
        <w:rPr>
          <w:rFonts w:eastAsia="Calibri"/>
          <w:lang w:eastAsia="en-US"/>
        </w:rPr>
        <w:t xml:space="preserve">Dla rozstrzygnięcia, czy wniosek o dofinansowanie został uzupełniony lub poprawiony </w:t>
      </w:r>
      <w:r w:rsidRPr="00597F80">
        <w:rPr>
          <w:rFonts w:eastAsia="Calibri"/>
          <w:lang w:eastAsia="en-US"/>
        </w:rPr>
        <w:br/>
        <w:t>w terminie, decydująca jest:</w:t>
      </w:r>
    </w:p>
    <w:p w14:paraId="729E703D" w14:textId="77777777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910BF">
        <w:rPr>
          <w:rFonts w:eastAsia="Calibri"/>
          <w:lang w:eastAsia="en-US"/>
        </w:rPr>
        <w:t>data złożenia nowej wersji wniosku o dofinansowanie w GW lub dołączenia załączników w GW (da</w:t>
      </w:r>
      <w:r w:rsidRPr="00157ECB">
        <w:rPr>
          <w:rFonts w:eastAsia="Calibri"/>
          <w:lang w:eastAsia="en-US"/>
        </w:rPr>
        <w:t>ta generowana jest przez system po naciśnięciu przycisku „Uzupełnij wniosek”)</w:t>
      </w:r>
      <w:r>
        <w:rPr>
          <w:rFonts w:eastAsia="Calibri"/>
          <w:lang w:eastAsia="en-US"/>
        </w:rPr>
        <w:t xml:space="preserve"> albo</w:t>
      </w:r>
      <w:r w:rsidRPr="00157ECB">
        <w:rPr>
          <w:rFonts w:eastAsia="Calibri"/>
          <w:lang w:eastAsia="en-US"/>
        </w:rPr>
        <w:t xml:space="preserve"> </w:t>
      </w:r>
    </w:p>
    <w:p w14:paraId="4344C97F" w14:textId="15BAD6F1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57ECB">
        <w:rPr>
          <w:rFonts w:eastAsia="Calibri"/>
          <w:lang w:eastAsia="en-US"/>
        </w:rPr>
        <w:lastRenderedPageBreak/>
        <w:t xml:space="preserve">data nadania dokumentu </w:t>
      </w:r>
      <w:r w:rsidRPr="00157ECB">
        <w:rPr>
          <w:b/>
          <w:bCs/>
        </w:rPr>
        <w:t>w polskiej placówce po</w:t>
      </w:r>
      <w:r w:rsidRPr="00CF6176">
        <w:rPr>
          <w:b/>
          <w:bCs/>
        </w:rPr>
        <w:t xml:space="preserve">cztowej operatora wyznaczonego </w:t>
      </w:r>
      <w:r w:rsidRPr="00CF6176">
        <w:rPr>
          <w:b/>
          <w:bCs/>
        </w:rPr>
        <w:br/>
        <w:t>w rozumieniu ustawy z dnia 23 listopada 2012 r.</w:t>
      </w:r>
      <w:r w:rsidRPr="00A910BF">
        <w:rPr>
          <w:b/>
          <w:bCs/>
        </w:rPr>
        <w:t xml:space="preserve"> – Prawo pocztowe </w:t>
      </w:r>
      <w:r w:rsidRPr="00A910BF">
        <w:rPr>
          <w:b/>
          <w:bCs/>
        </w:rPr>
        <w:br/>
        <w:t>(Dz.U. z 2017 r. poz. 1481</w:t>
      </w:r>
      <w:r w:rsidR="009A5E82">
        <w:rPr>
          <w:b/>
          <w:bCs/>
        </w:rPr>
        <w:t>,</w:t>
      </w:r>
      <w:r>
        <w:rPr>
          <w:b/>
          <w:bCs/>
        </w:rPr>
        <w:t xml:space="preserve"> z późn. zm.</w:t>
      </w:r>
      <w:r w:rsidRPr="00A910BF">
        <w:rPr>
          <w:b/>
          <w:bCs/>
        </w:rPr>
        <w:t>)</w:t>
      </w:r>
      <w:r w:rsidRPr="00A910BF">
        <w:rPr>
          <w:bCs/>
        </w:rPr>
        <w:t xml:space="preserve"> (</w:t>
      </w:r>
      <w:r w:rsidRPr="00A910BF">
        <w:rPr>
          <w:b/>
          <w:bCs/>
        </w:rPr>
        <w:t>tj. w placówce Poczty Polskiej</w:t>
      </w:r>
      <w:r w:rsidRPr="00A910BF">
        <w:rPr>
          <w:bCs/>
        </w:rPr>
        <w:t>)</w:t>
      </w:r>
      <w:r w:rsidR="00597F80">
        <w:rPr>
          <w:rFonts w:eastAsia="Calibri"/>
          <w:lang w:eastAsia="en-US"/>
        </w:rPr>
        <w:t xml:space="preserve"> </w:t>
      </w:r>
      <w:r w:rsidRPr="00A910BF">
        <w:rPr>
          <w:rFonts w:eastAsia="Calibri"/>
          <w:lang w:eastAsia="en-US"/>
        </w:rPr>
        <w:t>lub data widniejąca na pieczęci wpływu dokumentu dostarczonego do PARP (w przypadkach innych, niż nadanie dokumentu w placówce Poczty Polskiej)</w:t>
      </w:r>
      <w:r>
        <w:rPr>
          <w:rFonts w:eastAsia="Calibri"/>
          <w:lang w:eastAsia="en-US"/>
        </w:rPr>
        <w:t xml:space="preserve"> </w:t>
      </w:r>
      <w:r w:rsidRPr="00674787">
        <w:rPr>
          <w:rFonts w:eastAsia="Calibri"/>
          <w:lang w:eastAsia="en-US"/>
        </w:rPr>
        <w:t xml:space="preserve">w przypadku, gdy </w:t>
      </w:r>
      <w:r w:rsidR="00CD3D92">
        <w:rPr>
          <w:rFonts w:eastAsia="Calibri"/>
          <w:lang w:eastAsia="en-US"/>
        </w:rPr>
        <w:br/>
      </w:r>
      <w:r w:rsidRPr="00674787">
        <w:rPr>
          <w:rFonts w:eastAsia="Calibri"/>
          <w:lang w:eastAsia="en-US"/>
        </w:rPr>
        <w:t>w związku z wystąpieniem okoliczności, określonych w § 6 ust. 1</w:t>
      </w:r>
      <w:r w:rsidR="00597F80">
        <w:rPr>
          <w:rFonts w:eastAsia="Calibri"/>
          <w:lang w:eastAsia="en-US"/>
        </w:rPr>
        <w:t>1</w:t>
      </w:r>
      <w:r w:rsidRPr="00674787">
        <w:rPr>
          <w:rFonts w:eastAsia="Calibri"/>
          <w:lang w:eastAsia="en-US"/>
        </w:rPr>
        <w:t xml:space="preserve"> nie jest możliwe złożenie załączników w GW</w:t>
      </w:r>
      <w:r w:rsidRPr="00157ECB">
        <w:rPr>
          <w:rFonts w:eastAsia="Calibri"/>
          <w:lang w:eastAsia="en-US"/>
        </w:rPr>
        <w:t>.</w:t>
      </w:r>
    </w:p>
    <w:p w14:paraId="40F2F85C" w14:textId="77777777" w:rsidR="00864023" w:rsidRPr="00B865CB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E444E">
        <w:rPr>
          <w:rFonts w:eastAsia="Calibri"/>
          <w:lang w:eastAsia="en-US"/>
        </w:rPr>
        <w:t xml:space="preserve">Dopuszczalne jest </w:t>
      </w:r>
      <w:r w:rsidRPr="002E444E">
        <w:rPr>
          <w:rFonts w:eastAsia="Calibri"/>
          <w:b/>
          <w:lang w:eastAsia="en-US"/>
        </w:rPr>
        <w:t>jednokrotne</w:t>
      </w:r>
      <w:r w:rsidRPr="002E444E">
        <w:rPr>
          <w:rFonts w:eastAsia="Calibri"/>
          <w:lang w:eastAsia="en-US"/>
        </w:rPr>
        <w:t xml:space="preserve"> uzupełnienie lub poprawienie wniosku </w:t>
      </w:r>
      <w:r w:rsidRPr="002E444E">
        <w:rPr>
          <w:rFonts w:eastAsia="Calibri"/>
          <w:lang w:eastAsia="en-US"/>
        </w:rPr>
        <w:br/>
        <w:t>o dofinansowanie w zakresie wskazanym przez PARP w wezwaniu.</w:t>
      </w:r>
    </w:p>
    <w:p w14:paraId="442EB87D" w14:textId="2B7990DA" w:rsidR="00864023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427D4">
        <w:rPr>
          <w:rFonts w:eastAsia="Calibri"/>
          <w:lang w:eastAsia="en-US"/>
        </w:rPr>
        <w:t>Jeżeli wnio</w:t>
      </w:r>
      <w:r>
        <w:rPr>
          <w:rFonts w:eastAsia="Calibri"/>
          <w:lang w:eastAsia="en-US"/>
        </w:rPr>
        <w:t xml:space="preserve">skodawca nie poprawi lub nie uzupełni wniosku o dofinansowanie we wskazanym w wezwaniu terminie lub zakresie lub wprowadzi we wniosku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dofinansowanie zmiany inne, niż wskazane w wezwaniu, wniosek o dofinansowanie </w:t>
      </w:r>
      <w:r>
        <w:rPr>
          <w:rFonts w:eastAsia="Calibri"/>
          <w:b/>
          <w:lang w:eastAsia="en-US"/>
        </w:rPr>
        <w:t>zostanie pozostawiony bez rozpatrzenia i, w konsekwencji, nie zostanie dopuszczony do oceny spełnienia kryteriów wyboru projektów</w:t>
      </w:r>
      <w:r>
        <w:rPr>
          <w:rFonts w:eastAsia="Calibri"/>
          <w:lang w:eastAsia="en-US"/>
        </w:rPr>
        <w:t xml:space="preserve">. </w:t>
      </w:r>
    </w:p>
    <w:p w14:paraId="4F686FCC" w14:textId="77777777" w:rsidR="006D3DA7" w:rsidRPr="003A3E2C" w:rsidRDefault="00864023" w:rsidP="003A3E2C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b/>
        </w:rPr>
      </w:pPr>
      <w:r w:rsidRPr="00CB024C">
        <w:rPr>
          <w:rFonts w:eastAsia="Calibri"/>
          <w:lang w:eastAsia="en-US"/>
        </w:rPr>
        <w:t xml:space="preserve">PARP przechowuje w swoim systemie informatycznym wnioski o dofinansowanie pozostawione bez rozpatrzenia złożone w </w:t>
      </w:r>
      <w:r w:rsidRPr="00212748">
        <w:rPr>
          <w:rFonts w:eastAsia="Calibri"/>
          <w:lang w:eastAsia="en-US"/>
        </w:rPr>
        <w:t xml:space="preserve">GW </w:t>
      </w:r>
      <w:r w:rsidRPr="003E08B6">
        <w:rPr>
          <w:rFonts w:eastAsia="Calibri"/>
          <w:lang w:eastAsia="en-US"/>
        </w:rPr>
        <w:t>oraz</w:t>
      </w:r>
      <w:r w:rsidRPr="008B013C">
        <w:rPr>
          <w:rFonts w:eastAsia="Calibri"/>
          <w:lang w:eastAsia="en-US"/>
        </w:rPr>
        <w:t xml:space="preserve"> </w:t>
      </w:r>
      <w:r w:rsidRPr="00D32051">
        <w:rPr>
          <w:rFonts w:eastAsia="Calibri"/>
          <w:lang w:eastAsia="en-US"/>
        </w:rPr>
        <w:t xml:space="preserve">wersje papierowe złożonych dokumentów lub nośniki </w:t>
      </w:r>
      <w:r w:rsidRPr="00CB024C">
        <w:rPr>
          <w:rFonts w:eastAsia="Calibri"/>
          <w:lang w:eastAsia="en-US"/>
        </w:rPr>
        <w:t>danych (np. CD, D</w:t>
      </w:r>
      <w:r w:rsidR="007B0A9B">
        <w:rPr>
          <w:rFonts w:eastAsia="Calibri"/>
          <w:lang w:eastAsia="en-US"/>
        </w:rPr>
        <w:t>VD) do dnia 30 czerwca 2024 r.</w:t>
      </w:r>
    </w:p>
    <w:p w14:paraId="7495BD86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8</w:t>
      </w:r>
      <w:r w:rsidR="006D3DA7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Ogólne zasady dokonywania oceny projektów w konkursie</w:t>
      </w:r>
    </w:p>
    <w:p w14:paraId="2F94A468" w14:textId="77777777" w:rsidR="007B0A9B" w:rsidRPr="007B0A9B" w:rsidRDefault="007B0A9B" w:rsidP="007B0A9B"/>
    <w:p w14:paraId="747404D1" w14:textId="77777777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Ocena projektów dokonywana jest w oparciu o kryteria wyboru projektów właściwe dla danego etapu oceny, określone w załączniku nr 1 do regulaminu na podstawie informacji zawartych we wniosku o dofinansowanie oraz informacji lub dokumentów, o których mowa w ust. 4 (jeśli wnioskodawca był wezwany do ich złożenia).  </w:t>
      </w:r>
    </w:p>
    <w:p w14:paraId="21E9BA5E" w14:textId="77777777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Ocena projektów dokonywana jest przez KOP.</w:t>
      </w:r>
    </w:p>
    <w:p w14:paraId="1E9F661E" w14:textId="076B6FF8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Ocena projektów trwa do 60 dni, liczonych od dnia zakończenia naboru wniosków </w:t>
      </w:r>
      <w:r w:rsidR="00467241">
        <w:rPr>
          <w:rFonts w:eastAsia="Calibri"/>
          <w:lang w:eastAsia="en-US"/>
        </w:rPr>
        <w:br/>
      </w:r>
      <w:r w:rsidRPr="009C69BA">
        <w:rPr>
          <w:rFonts w:eastAsia="Calibri"/>
          <w:lang w:eastAsia="en-US"/>
        </w:rPr>
        <w:t>o dofinansowanie w danej rundzie konkursu.</w:t>
      </w:r>
    </w:p>
    <w:p w14:paraId="641D48B0" w14:textId="77777777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W przypadku gdy do oceny spełnienia kryteriów wyboru projektów niezbędne okaże się złożenie przez wnioskodawcę dodatkowych informacji lub dokumentów innych, niż wymienione we wniosku o dofinansowanie, KOP może wezwać wnioskodawcę do ich złożenia.</w:t>
      </w:r>
    </w:p>
    <w:p w14:paraId="527A8631" w14:textId="4CFA39A9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Informację o wezwaniu 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informacje lub dokumenty stają się częścią dokumentacji aplikacyjnej wnioskodawcy. Jeżeli wnioskodawca nie przekaże informacji lub dokumentów w wyznaczonym terminie, ocena wniosku o dofinasowanie prowadzona jest przez KOP na podstawie posiadanych informacji.</w:t>
      </w:r>
    </w:p>
    <w:p w14:paraId="417AE21D" w14:textId="77777777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lastRenderedPageBreak/>
        <w:t xml:space="preserve">Prawdziwość oświadczeń i danych zawartych we wniosku o dofinansowanie może zostać zweryfikowana w trakcie oceny, jak również przed i po zawarciu umowy o dofinansowanie projektu. </w:t>
      </w:r>
    </w:p>
    <w:p w14:paraId="224143FC" w14:textId="77777777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Wnioskodawca ma prawo dostępu do dokumentów związanych z oceną złożonego przez siebie wniosku o dofinansowanie, z zastrzeżeniem, że dane osobowe członków KOP dokonujących oceny nie podlegają ujawnieniu.  </w:t>
      </w:r>
    </w:p>
    <w:p w14:paraId="3CD9DF08" w14:textId="77777777" w:rsidR="00F7056C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PARP przechowuje w swoim systemie informatycznym wnioski o dofinansowanie złożone w GW, które zostały ocenione negatywnie i, w stosunku do których nie został wniesiony protest oraz wersje papierowe złożonych dokumentów lub nośniki danych (np. CD, DVD) do 30 czerwca 2024 r.</w:t>
      </w:r>
    </w:p>
    <w:p w14:paraId="0D4E107F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9</w:t>
      </w:r>
      <w:r w:rsidR="00F7056C" w:rsidRPr="00427BC1">
        <w:rPr>
          <w:sz w:val="24"/>
          <w:szCs w:val="24"/>
        </w:rPr>
        <w:t xml:space="preserve">. </w:t>
      </w:r>
      <w:r w:rsidR="007E2F39" w:rsidRPr="00427BC1">
        <w:rPr>
          <w:sz w:val="24"/>
          <w:szCs w:val="24"/>
        </w:rPr>
        <w:t>Zasady dokonywania oceny</w:t>
      </w:r>
    </w:p>
    <w:p w14:paraId="06DBA2C5" w14:textId="77777777" w:rsidR="007B0A9B" w:rsidRPr="007B0A9B" w:rsidRDefault="007B0A9B" w:rsidP="007B0A9B"/>
    <w:p w14:paraId="33000FBF" w14:textId="77777777" w:rsidR="00445D27" w:rsidRPr="00F83231" w:rsidRDefault="00445D27" w:rsidP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t>Ocena spełnienia kryteriów wyboru projektów podzielona jest na dwa etapy.</w:t>
      </w:r>
    </w:p>
    <w:p w14:paraId="2468E45C" w14:textId="77777777" w:rsidR="00445D27" w:rsidRDefault="00445D27" w:rsidP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Ocena w ramach I etapu dokonywana jest przez KOP w formie niezależnej oceny projektu przez co najmniej dwóch członków KOP.</w:t>
      </w:r>
    </w:p>
    <w:p w14:paraId="670D6C52" w14:textId="77777777" w:rsidR="00445D27" w:rsidRDefault="00445D27" w:rsidP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Ocena w ramach I etapu kończy się:</w:t>
      </w:r>
    </w:p>
    <w:p w14:paraId="090169E6" w14:textId="77777777" w:rsidR="00445D27" w:rsidRDefault="00445D27" w:rsidP="00445D27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skierowaniem wniosku o dofinansowanie do oceny w ramach II etapu  – w przypadku spełnienia wszystkich kryteriów wyboru projektów właściwych dla I etapu (ocena pozytywna), albo</w:t>
      </w:r>
    </w:p>
    <w:p w14:paraId="16484372" w14:textId="735ED466" w:rsidR="00445D27" w:rsidRDefault="00445D27" w:rsidP="003F384E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odrzuceniem wniosku o dofinansowanie – w przypadku niespełnienia któregokolwiek </w:t>
      </w:r>
      <w:r w:rsidR="00467241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kryteriów wyboru projektów właściwych dla I etapu (ocena negatywna).</w:t>
      </w:r>
    </w:p>
    <w:p w14:paraId="6D502A4D" w14:textId="1366D9CF" w:rsidR="00445D27" w:rsidRPr="00934AE9" w:rsidRDefault="00445D27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2593A">
        <w:rPr>
          <w:rFonts w:eastAsia="Calibri"/>
          <w:lang w:eastAsia="en-US"/>
        </w:rPr>
        <w:t xml:space="preserve">Po </w:t>
      </w:r>
      <w:r>
        <w:t xml:space="preserve">zakończeniu oceny w ramach I etapu PARP publikuje na swojej stronie internetowej listę projektów </w:t>
      </w:r>
      <w:r w:rsidRPr="00DB2F89">
        <w:t>zakwalifikowanych do oceny w ramach II etapu.</w:t>
      </w:r>
      <w:r w:rsidR="00FD3056">
        <w:t xml:space="preserve"> </w:t>
      </w:r>
    </w:p>
    <w:p w14:paraId="3773CD86" w14:textId="77777777" w:rsidR="00445D27" w:rsidRDefault="00445D27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DB2F89">
        <w:t>Ocena w ramach II etapu</w:t>
      </w:r>
      <w:r>
        <w:t xml:space="preserve"> przeprowadzana </w:t>
      </w:r>
      <w:r w:rsidRPr="00DB2F89">
        <w:t>jest przez KOP w formie niezależnej oceny projektu przez co najmniej dwóch członków KOP.</w:t>
      </w:r>
    </w:p>
    <w:p w14:paraId="70A069C4" w14:textId="3682E59B" w:rsidR="00445D27" w:rsidRPr="00EC39BE" w:rsidRDefault="00445D27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EC39BE">
        <w:t xml:space="preserve">Na </w:t>
      </w:r>
      <w:r>
        <w:t xml:space="preserve">II </w:t>
      </w:r>
      <w:r w:rsidRPr="00EC39BE">
        <w:t xml:space="preserve">etapie oceny projekt może zostać cofnięty do oceny </w:t>
      </w:r>
      <w:r w:rsidRPr="00934AE9">
        <w:t>w ramach</w:t>
      </w:r>
      <w:r>
        <w:t xml:space="preserve"> I </w:t>
      </w:r>
      <w:r w:rsidRPr="00934AE9">
        <w:t xml:space="preserve">etapu </w:t>
      </w:r>
      <w:r w:rsidRPr="00EC39BE">
        <w:t xml:space="preserve">w celu przeprowadzenia ponownej weryfikacji spełniania kryteriów </w:t>
      </w:r>
      <w:r w:rsidRPr="00934AE9">
        <w:t>wyboru projektów</w:t>
      </w:r>
      <w:r>
        <w:t xml:space="preserve"> właściwych dla I etapu.</w:t>
      </w:r>
    </w:p>
    <w:p w14:paraId="5506671C" w14:textId="77777777" w:rsidR="00445D27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>
        <w:t xml:space="preserve">PARP może wezwać wnioskodawcę do poprawy lub uzupełnienia wniosku </w:t>
      </w:r>
      <w:r w:rsidR="007B0A9B">
        <w:br/>
      </w:r>
      <w:r>
        <w:t xml:space="preserve">o dofinansowanie w zakresie podlegającym ocenie spełnienia kryteriów wyboru projektów </w:t>
      </w:r>
      <w:r w:rsidRPr="009C69BA">
        <w:t>właściwych dla II etapu oceny</w:t>
      </w:r>
      <w:r>
        <w:t>, o ile możliwość taka została przewidziana dla danego kryterium w załączniku nr 1 do regulaminu.</w:t>
      </w:r>
    </w:p>
    <w:p w14:paraId="71AE6E04" w14:textId="77777777" w:rsidR="00445D27" w:rsidRPr="007013C3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>
        <w:t>W przypadku, o którym mowa w ust. 7 PARP</w:t>
      </w:r>
      <w:r w:rsidRPr="007013C3">
        <w:t xml:space="preserve">, </w:t>
      </w:r>
      <w:r>
        <w:t>na</w:t>
      </w:r>
      <w:r w:rsidRPr="007013C3">
        <w:t xml:space="preserve"> adres poczty elektronicznej wnioskodawcy, wysyła </w:t>
      </w:r>
      <w:r>
        <w:t xml:space="preserve">informację o </w:t>
      </w:r>
      <w:r w:rsidRPr="007013C3">
        <w:t>wezwani</w:t>
      </w:r>
      <w:r>
        <w:t>u w GW</w:t>
      </w:r>
      <w:r w:rsidRPr="007013C3">
        <w:t xml:space="preserve"> do poprawy lub uzupełnienia wniosku o dofinansowanie w terminie 5 dni roboczych </w:t>
      </w:r>
      <w:r w:rsidRPr="009C69BA">
        <w:t xml:space="preserve">od dnia następującego po dniu wysłania przez </w:t>
      </w:r>
      <w:r>
        <w:t>PARP</w:t>
      </w:r>
      <w:r w:rsidRPr="009C69BA">
        <w:t xml:space="preserve"> informacji o wezwaniu </w:t>
      </w:r>
      <w:r w:rsidRPr="007013C3">
        <w:t>(dla biegu tego terminu nie ma znaczenia dzień odebrania wezwania przez wnioskodawcę)</w:t>
      </w:r>
      <w:r w:rsidRPr="009C69BA">
        <w:t xml:space="preserve">. </w:t>
      </w:r>
    </w:p>
    <w:p w14:paraId="4BBF8F48" w14:textId="77777777" w:rsidR="00445D27" w:rsidRPr="007013C3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7013C3">
        <w:t xml:space="preserve">Dla sprawdzenia czy wnioskodawca dochował terminu stosuje się odpowiednio zasady, </w:t>
      </w:r>
      <w:r w:rsidR="007B0A9B">
        <w:br/>
      </w:r>
      <w:r w:rsidRPr="007013C3">
        <w:t xml:space="preserve">o których mowa w § 7 ust. </w:t>
      </w:r>
      <w:r w:rsidRPr="005053BD">
        <w:t>5</w:t>
      </w:r>
      <w:r w:rsidRPr="007013C3">
        <w:t xml:space="preserve">. </w:t>
      </w:r>
    </w:p>
    <w:p w14:paraId="0EE89281" w14:textId="77777777" w:rsidR="00445D27" w:rsidRPr="007013C3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7013C3">
        <w:lastRenderedPageBreak/>
        <w:t xml:space="preserve">W ocenie II etapu możliwe jest jednokrotne dokonanie poprawy lub uzupełnień wniosku </w:t>
      </w:r>
      <w:r w:rsidR="007B0A9B">
        <w:br/>
      </w:r>
      <w:r w:rsidRPr="007013C3">
        <w:t xml:space="preserve">o dofinansowanie w ramach danego kryterium. </w:t>
      </w:r>
    </w:p>
    <w:p w14:paraId="0B490E12" w14:textId="77777777" w:rsidR="00445D27" w:rsidRPr="007013C3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9C69BA">
        <w:t xml:space="preserve">Wnioskodawca jest zobowiązany do poprawienia lub uzupełnienia wniosku </w:t>
      </w:r>
      <w:r w:rsidRPr="009C69BA">
        <w:br/>
        <w:t>o dofinansowanie wyłącznie w zakresie wskazanym w wezwaniu.</w:t>
      </w:r>
    </w:p>
    <w:p w14:paraId="0CAD8CA7" w14:textId="77777777" w:rsidR="00445D27" w:rsidRPr="00DC24A1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9C69BA">
        <w:t>Jeżeli wnioskodawca nie poprawi lub nie uzupełni wniosku o dofinansowanie w terminie lub zakresie wskazanym w wezwaniu, ocena projektu prowadzona jest na podstawie złożonego wniosku o dofinansowanie.</w:t>
      </w:r>
    </w:p>
    <w:p w14:paraId="78F99A69" w14:textId="77777777" w:rsidR="00445D27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9C69BA">
        <w:t xml:space="preserve">W przypadku poprawionego lub uzupełnionego wniosku o dofinansowanie, gdy </w:t>
      </w:r>
      <w:r>
        <w:t>KOP uzna za niekwalifikowalne:</w:t>
      </w:r>
    </w:p>
    <w:p w14:paraId="1AA5B3BF" w14:textId="78B7078E" w:rsidR="00445D27" w:rsidRPr="001D70B0" w:rsidRDefault="00445D27" w:rsidP="009C69BA">
      <w:pPr>
        <w:pStyle w:val="Akapitzlist"/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jc w:val="both"/>
      </w:pPr>
      <w:r>
        <w:t xml:space="preserve">mniej niż </w:t>
      </w:r>
      <w:r w:rsidRPr="00143CC7">
        <w:t>10</w:t>
      </w:r>
      <w:r>
        <w:t>% kosztów wskazanych przez wnioskodawcę jako kwalifikowalne we wniosku o dofinansowanie, rekomenduje wnioskodawcy przeniesienie tych wydatków do wydatków niekwalifikowalnych,</w:t>
      </w:r>
      <w:r w:rsidDel="00C06877">
        <w:t xml:space="preserve"> </w:t>
      </w:r>
      <w:r w:rsidRPr="009C69BA">
        <w:t xml:space="preserve"> </w:t>
      </w:r>
    </w:p>
    <w:p w14:paraId="61ED54C4" w14:textId="77777777" w:rsidR="00445D27" w:rsidRDefault="00445D27" w:rsidP="009C69BA">
      <w:pPr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jc w:val="both"/>
      </w:pPr>
      <w:r w:rsidRPr="00143CC7">
        <w:t>10</w:t>
      </w:r>
      <w:r>
        <w:t>% lub więcej kosztów wskazanych przez wnioskodawcę jako kwalifikowalne we wniosku o dofinansowanie, kryterium wyboru projektów „Wydatki w ramach projektu są kwalifikowalne, racjonalne i uzasadnione oraz wynikają bezpośrednio z Etapu I Działania 1.4 POPW” jest niespełnione.</w:t>
      </w:r>
    </w:p>
    <w:p w14:paraId="68D9CDC0" w14:textId="783C5E1F" w:rsidR="00445D27" w:rsidRPr="005053BD" w:rsidRDefault="00445D27" w:rsidP="009C69BA">
      <w:pPr>
        <w:numPr>
          <w:ilvl w:val="0"/>
          <w:numId w:val="71"/>
        </w:numPr>
        <w:spacing w:after="120" w:line="276" w:lineRule="auto"/>
        <w:ind w:left="426" w:hanging="426"/>
        <w:jc w:val="both"/>
      </w:pPr>
      <w:r>
        <w:t xml:space="preserve">PARP na adres poczty elektronicznej wnioskodawcy, wzywa wnioskodawcę do wyrażenia zgody na zmianę, o której mowa w ust. </w:t>
      </w:r>
      <w:r w:rsidR="001F5D8D">
        <w:t>13</w:t>
      </w:r>
      <w:r>
        <w:t xml:space="preserve"> pkt</w:t>
      </w:r>
      <w:r w:rsidR="002A591A">
        <w:t xml:space="preserve"> </w:t>
      </w:r>
      <w:r>
        <w:t>1</w:t>
      </w:r>
      <w:r w:rsidRPr="003452D2">
        <w:t xml:space="preserve"> </w:t>
      </w:r>
      <w:r>
        <w:t xml:space="preserve">w terminie 3 dni roboczych od dnia </w:t>
      </w:r>
      <w:r w:rsidRPr="009C69BA">
        <w:t xml:space="preserve">następującego po dniu wysłania przez PARP wezwania </w:t>
      </w:r>
      <w:r w:rsidRPr="007013C3">
        <w:t>(dla biegu tego terminu nie ma znaczenia dzień odebrania wezwania przez wnioskodawcę)</w:t>
      </w:r>
      <w:r>
        <w:t xml:space="preserve">. </w:t>
      </w:r>
      <w:r w:rsidRPr="003F384E">
        <w:t xml:space="preserve">Wyrażenie zgody </w:t>
      </w:r>
      <w:r>
        <w:t>następuje w formie pisemnej, poprzez załączenie</w:t>
      </w:r>
      <w:r w:rsidRPr="003F384E">
        <w:t xml:space="preserve"> w GW skanu pisma podpisanego zgodnie z zasadami reprezentowania wnioskodawcy</w:t>
      </w:r>
      <w:r w:rsidRPr="009C69BA">
        <w:t xml:space="preserve">. </w:t>
      </w:r>
      <w:r w:rsidR="00B21972" w:rsidRPr="000A13D7">
        <w:rPr>
          <w:rFonts w:eastAsia="Calibri"/>
          <w:color w:val="000000"/>
        </w:rPr>
        <w:t>Korekta wniosku o</w:t>
      </w:r>
      <w:r w:rsidR="00B21972">
        <w:rPr>
          <w:rFonts w:eastAsia="Calibri"/>
          <w:color w:val="000000"/>
        </w:rPr>
        <w:t> </w:t>
      </w:r>
      <w:r w:rsidR="00B21972" w:rsidRPr="000A13D7">
        <w:rPr>
          <w:rFonts w:eastAsia="Calibri"/>
          <w:color w:val="000000"/>
        </w:rPr>
        <w:t>dofinansowanie w zakresie kosztów uznany</w:t>
      </w:r>
      <w:r w:rsidR="00B21972">
        <w:rPr>
          <w:rFonts w:eastAsia="Calibri"/>
          <w:color w:val="000000"/>
        </w:rPr>
        <w:t>ch</w:t>
      </w:r>
      <w:r w:rsidR="00B21972" w:rsidRPr="000A13D7">
        <w:rPr>
          <w:rFonts w:eastAsia="Calibri"/>
          <w:color w:val="000000"/>
        </w:rPr>
        <w:t xml:space="preserve"> za niekwalifikowalne dokonywana jest przez </w:t>
      </w:r>
      <w:r w:rsidR="00B21972">
        <w:rPr>
          <w:rFonts w:eastAsia="Calibri"/>
          <w:color w:val="000000"/>
        </w:rPr>
        <w:t>w</w:t>
      </w:r>
      <w:r w:rsidR="00B21972" w:rsidRPr="000A13D7">
        <w:rPr>
          <w:rFonts w:eastAsia="Calibri"/>
          <w:color w:val="000000"/>
        </w:rPr>
        <w:t>nioskodawcę w GW</w:t>
      </w:r>
      <w:r w:rsidR="00B21972" w:rsidRPr="000A13D7">
        <w:t xml:space="preserve"> po zakończeniu oceny, a przed zawarciem umowy o dofinansowanie projektu.</w:t>
      </w:r>
    </w:p>
    <w:p w14:paraId="06B723D5" w14:textId="77777777" w:rsidR="00C9271F" w:rsidRPr="007B0A9B" w:rsidRDefault="00445D27" w:rsidP="009C69BA">
      <w:pPr>
        <w:numPr>
          <w:ilvl w:val="0"/>
          <w:numId w:val="71"/>
        </w:numPr>
        <w:spacing w:after="120" w:line="276" w:lineRule="auto"/>
        <w:ind w:left="426" w:hanging="426"/>
        <w:jc w:val="both"/>
      </w:pPr>
      <w:r>
        <w:t xml:space="preserve">Brak zgody wnioskodawcy lub brak odpowiedzi w terminie, o którym mowa w ust. </w:t>
      </w:r>
      <w:r w:rsidR="001F5D8D">
        <w:t>14</w:t>
      </w:r>
      <w:r>
        <w:t xml:space="preserve"> powoduje, że </w:t>
      </w:r>
      <w:r w:rsidRPr="00A024B6">
        <w:t>kryterium wyboru projektów „</w:t>
      </w:r>
      <w:r w:rsidR="001F5D8D">
        <w:t>Wydatki w ramach projektu są kwalifikowalne, racjonalne i uzasadnione oraz wynikają bezpośrednio z Etapu I Działania 1.4 POPW”</w:t>
      </w:r>
      <w:r w:rsidRPr="00A024B6">
        <w:t xml:space="preserve"> </w:t>
      </w:r>
      <w:r>
        <w:t>jest</w:t>
      </w:r>
      <w:r w:rsidRPr="00A024B6">
        <w:t xml:space="preserve"> niespełnione.</w:t>
      </w:r>
    </w:p>
    <w:p w14:paraId="3AE65721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6647A5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10</w:t>
      </w:r>
      <w:r w:rsidR="00C9271F" w:rsidRPr="00427BC1">
        <w:rPr>
          <w:sz w:val="24"/>
          <w:szCs w:val="24"/>
        </w:rPr>
        <w:t>. Zasady ustalania wyniku oceny projektów</w:t>
      </w:r>
    </w:p>
    <w:p w14:paraId="31A96208" w14:textId="77777777" w:rsidR="007B0A9B" w:rsidRPr="007B0A9B" w:rsidRDefault="007B0A9B" w:rsidP="007B0A9B"/>
    <w:p w14:paraId="4A22ACF7" w14:textId="77777777" w:rsidR="00F73BFF" w:rsidRDefault="00F73BFF" w:rsidP="009C69BA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jc w:val="both"/>
      </w:pPr>
      <w:r>
        <w:t>Projekt może zostać wybrany do dofinansowania, jeżeli:</w:t>
      </w:r>
    </w:p>
    <w:p w14:paraId="2F525453" w14:textId="77777777" w:rsidR="00F73BFF" w:rsidRDefault="00F73BFF" w:rsidP="009C69BA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jc w:val="both"/>
      </w:pPr>
      <w:r>
        <w:t>spełnił kryteria wyboru projektów i uzyskał wymaganą liczbę punktów oraz</w:t>
      </w:r>
    </w:p>
    <w:p w14:paraId="0479D0C5" w14:textId="77777777" w:rsidR="00F73BFF" w:rsidRDefault="00F73BFF" w:rsidP="009C69BA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jc w:val="both"/>
      </w:pPr>
      <w:r>
        <w:t xml:space="preserve">kwota przeznaczona na dofinansowanie projektów w konkursie, o której mowa w </w:t>
      </w:r>
      <w:r w:rsidRPr="001D1EB9">
        <w:t>§</w:t>
      </w:r>
      <w:r>
        <w:t xml:space="preserve"> 3 ust. 5 umożliwia wybranie go do dofinansowania.</w:t>
      </w:r>
    </w:p>
    <w:p w14:paraId="504AB629" w14:textId="77777777" w:rsidR="00F73BFF" w:rsidRDefault="004505E9" w:rsidP="009C69BA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Pr="00E63EB0">
        <w:t xml:space="preserve">środków przeznaczonych na </w:t>
      </w:r>
      <w:r>
        <w:t xml:space="preserve">dofinansowanie projektów </w:t>
      </w:r>
      <w:r w:rsidR="007B0A9B">
        <w:br/>
      </w:r>
      <w:r>
        <w:t>w konkursie, o której mowa w § 3 ust. 5 jest niewystarczająca na dofinansowanie wszystkich projektów, o których mowa w ust. 1, PARP zwraca się do IZ o odpowiednie zwiększenie alokacji na konkurs.</w:t>
      </w:r>
    </w:p>
    <w:p w14:paraId="5D3B1D42" w14:textId="7D188AC0" w:rsidR="00F73BFF" w:rsidRDefault="00F73BFF" w:rsidP="009C69BA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>
        <w:lastRenderedPageBreak/>
        <w:t>Po zakończeniu oceny wszystkich projektów</w:t>
      </w:r>
      <w:r w:rsidR="00417028">
        <w:t xml:space="preserve"> w ramach dane</w:t>
      </w:r>
      <w:r w:rsidR="005C5C80">
        <w:t>j</w:t>
      </w:r>
      <w:r w:rsidR="00417028">
        <w:t xml:space="preserve"> </w:t>
      </w:r>
      <w:r w:rsidR="005C5C80">
        <w:t>rundy konkursu</w:t>
      </w:r>
      <w:r>
        <w:t xml:space="preserve"> PARP zatwierdza listę ocenionych projektów zawierającą przyznane oceny z wyróżnieniem projektów wybranych do dofinansowania, w ramach kwoty, o której mowa w § 3 ust. 5. </w:t>
      </w:r>
    </w:p>
    <w:p w14:paraId="3FDE4910" w14:textId="7CBD1697" w:rsidR="00F73BFF" w:rsidRDefault="00F73BFF" w:rsidP="009C69BA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>
        <w:t>Zatwierdzenie przez PARP listy, o której mowa w ust. 3</w:t>
      </w:r>
      <w:r w:rsidR="005C5C80">
        <w:t>,</w:t>
      </w:r>
      <w:r>
        <w:t xml:space="preserve"> stanowi rozstrzygnięcie rundy konkursu. </w:t>
      </w:r>
    </w:p>
    <w:p w14:paraId="6CD1DCB0" w14:textId="77777777" w:rsidR="00724414" w:rsidRDefault="00724414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3933E2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11</w:t>
      </w:r>
      <w:r w:rsidR="001C39E1" w:rsidRPr="00427BC1">
        <w:rPr>
          <w:sz w:val="24"/>
          <w:szCs w:val="24"/>
        </w:rPr>
        <w:t>.</w:t>
      </w:r>
      <w:r w:rsidR="004505E9" w:rsidRPr="00427BC1">
        <w:rPr>
          <w:sz w:val="24"/>
          <w:szCs w:val="24"/>
        </w:rPr>
        <w:t xml:space="preserve"> Informacja o przyznaniu dofinansowania</w:t>
      </w:r>
    </w:p>
    <w:p w14:paraId="4A0C4BC4" w14:textId="77777777" w:rsidR="007B0A9B" w:rsidRPr="007B0A9B" w:rsidRDefault="007B0A9B" w:rsidP="00D83EED">
      <w:pPr>
        <w:ind w:left="426" w:hanging="426"/>
      </w:pPr>
    </w:p>
    <w:p w14:paraId="54C3738C" w14:textId="1807548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Niezwłocznie po rozstrzygnięciu </w:t>
      </w:r>
      <w:r w:rsidR="00E11998">
        <w:t xml:space="preserve">rundy </w:t>
      </w:r>
      <w:r w:rsidRPr="004505E9">
        <w:t xml:space="preserve">konkursu, o którym mowa w § 10 ust. 4, PARP informuje na piśmie każdego z wnioskodawców o wynikach oceny jego projektu wraz </w:t>
      </w:r>
      <w:r w:rsidR="00467241">
        <w:br/>
      </w:r>
      <w:r w:rsidRPr="004505E9">
        <w:t xml:space="preserve">z uzasadnieniem oceny i podaniem liczby punktów uzyskanych przez projekt. </w:t>
      </w:r>
    </w:p>
    <w:p w14:paraId="6934976D" w14:textId="7777777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W terminie 3 dni od rozstrzygnięcia </w:t>
      </w:r>
      <w:r w:rsidR="00FB6B3E">
        <w:t xml:space="preserve">rundy </w:t>
      </w:r>
      <w:r w:rsidRPr="004505E9">
        <w:t>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21A21B13" w14:textId="7777777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505E9">
        <w:t>Informacja o negatywnej ocenie projektu zawiera pouczenie o możliwości wniesienia protestu zgodnie z Rozdziałem 15 ustawy wdrożeniowej.</w:t>
      </w:r>
    </w:p>
    <w:p w14:paraId="62F55FA6" w14:textId="20B914C8" w:rsidR="004505E9" w:rsidRPr="007B0A9B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Przewidywany termin rozstrzygnięcia </w:t>
      </w:r>
      <w:r w:rsidR="00506210">
        <w:t xml:space="preserve">rundy </w:t>
      </w:r>
      <w:r w:rsidRPr="004505E9">
        <w:t>konkursu, o którym mowa w § 10 ust. 4</w:t>
      </w:r>
      <w:r w:rsidR="005C5C80">
        <w:t>,</w:t>
      </w:r>
      <w:r w:rsidRPr="004505E9">
        <w:t xml:space="preserve"> to </w:t>
      </w:r>
      <w:r w:rsidR="007B0A9B">
        <w:br/>
      </w:r>
      <w:r w:rsidR="00FF0292">
        <w:t>75</w:t>
      </w:r>
      <w:r w:rsidR="00627247">
        <w:t xml:space="preserve"> dni </w:t>
      </w:r>
      <w:r w:rsidRPr="004505E9">
        <w:t>od dnia zamknięcia naboru wniosków o dofinansowanie</w:t>
      </w:r>
      <w:r w:rsidR="00B36DEC">
        <w:t xml:space="preserve"> w danej rundzie konkursu</w:t>
      </w:r>
      <w:r w:rsidRPr="004505E9">
        <w:t>.</w:t>
      </w:r>
    </w:p>
    <w:p w14:paraId="7A634289" w14:textId="77777777" w:rsidR="0013411C" w:rsidRDefault="0013411C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1825FB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2</w:t>
      </w:r>
      <w:r w:rsidR="001C39E1" w:rsidRPr="00427BC1">
        <w:rPr>
          <w:sz w:val="24"/>
          <w:szCs w:val="24"/>
        </w:rPr>
        <w:t>.</w:t>
      </w:r>
      <w:r w:rsidRPr="00427BC1">
        <w:rPr>
          <w:sz w:val="24"/>
          <w:szCs w:val="24"/>
        </w:rPr>
        <w:t>Warunki zawarcia umowy o dofinansowanie projektu</w:t>
      </w:r>
    </w:p>
    <w:p w14:paraId="4CFC7CCD" w14:textId="77777777" w:rsidR="007B0A9B" w:rsidRPr="007B0A9B" w:rsidRDefault="007B0A9B" w:rsidP="00D83EED">
      <w:pPr>
        <w:ind w:left="426" w:hanging="426"/>
      </w:pPr>
    </w:p>
    <w:p w14:paraId="0D4CA835" w14:textId="77777777" w:rsidR="00111178" w:rsidRPr="00E63EB0" w:rsidRDefault="003758BD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427BC1">
        <w:t>W</w:t>
      </w:r>
      <w:r w:rsidR="00E34F61" w:rsidRPr="00427BC1">
        <w:t>raz z informacją</w:t>
      </w:r>
      <w:r w:rsidRPr="00427BC1">
        <w:t xml:space="preserve"> o wyborze projektu do dofinansowania</w:t>
      </w:r>
      <w:r w:rsidR="00111178" w:rsidRPr="00427BC1">
        <w:t xml:space="preserve"> </w:t>
      </w:r>
      <w:r w:rsidR="00E34F61" w:rsidRPr="00427BC1">
        <w:t xml:space="preserve">PARP wzywa </w:t>
      </w:r>
      <w:r w:rsidR="005C09D2" w:rsidRPr="00427BC1">
        <w:t>na piśmie</w:t>
      </w:r>
      <w:r w:rsidR="005C09D2">
        <w:t xml:space="preserve"> </w:t>
      </w:r>
      <w:r w:rsidR="00E34F61" w:rsidRPr="00E34F61">
        <w:t xml:space="preserve">wnioskodawcę do dostarczenia dokumentów niezbędnych do zawarcia umowy </w:t>
      </w:r>
      <w:r w:rsidR="00427BC1">
        <w:br/>
      </w:r>
      <w:r w:rsidR="00E34F61" w:rsidRPr="00E34F61">
        <w:t>o dofinansowanie projektu</w:t>
      </w:r>
      <w:r w:rsidR="009D6C01">
        <w:t xml:space="preserve">, wymienionych w załączniku nr </w:t>
      </w:r>
      <w:r w:rsidR="003A3E2C">
        <w:t>5</w:t>
      </w:r>
      <w:r w:rsidR="00E34F61" w:rsidRPr="00E34F61">
        <w:t xml:space="preserve"> do regulaminu.</w:t>
      </w:r>
    </w:p>
    <w:p w14:paraId="50DDA3AA" w14:textId="6C428FE3" w:rsidR="007B0A9B" w:rsidRPr="007B0A9B" w:rsidRDefault="00111178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 xml:space="preserve">Wnioskodawca dostarcza dokumenty niezbędne do zawarcia umowy o dofinansowanie </w:t>
      </w:r>
      <w:r w:rsidR="00467241">
        <w:br/>
      </w:r>
      <w:r w:rsidRPr="00111178">
        <w:t>w terminie 7 dni od dnia doręczenia wezwania, o którym mowa w ust. 1. W przypadku niedostarczenia kompletnych co do formy i treści dokumentów w tym terminie, PARP może odstąpić od zawarcia umowy o dofinansowanie.</w:t>
      </w:r>
    </w:p>
    <w:p w14:paraId="61DC8341" w14:textId="77777777" w:rsidR="00111178" w:rsidRPr="007B0A9B" w:rsidRDefault="00111178" w:rsidP="00CE679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>Przed zawarciem umowy o dofinansowanie projektu PARP dokona weryfikacji czy wnioskodawca może otrzymać dofinans</w:t>
      </w:r>
      <w:r w:rsidR="007B0A9B">
        <w:t>owanie, w tym w szczególności:</w:t>
      </w:r>
    </w:p>
    <w:p w14:paraId="63A42DED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wystąpi do Ministra Finansów o informację czy rekomendowany do dofinansowania wnioskodawca nie widnieje w rejestrze podmiotów wykluczonych;</w:t>
      </w:r>
    </w:p>
    <w:p w14:paraId="2C82CA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potwierdzi, że wnioskodawca nie naruszył w sposób istotny umowy zawartej z PARP w związku z art. 6b ust. 3 pkt 3 lit. c ustawy o PARP;</w:t>
      </w:r>
    </w:p>
    <w:p w14:paraId="30A7C4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potwierdzi status MŚP wnioskodawcy;</w:t>
      </w:r>
    </w:p>
    <w:p w14:paraId="2F329273" w14:textId="77777777" w:rsidR="007B0A9B" w:rsidRDefault="00111178" w:rsidP="009C69BA">
      <w:pPr>
        <w:numPr>
          <w:ilvl w:val="0"/>
          <w:numId w:val="64"/>
        </w:numPr>
        <w:spacing w:after="120" w:line="276" w:lineRule="auto"/>
        <w:ind w:left="785"/>
        <w:jc w:val="both"/>
      </w:pPr>
      <w:r w:rsidRPr="00111178">
        <w:t xml:space="preserve">potwierdzi możliwości udzielenia pomocy publicznej lub pomocy </w:t>
      </w:r>
      <w:r w:rsidRPr="00111178">
        <w:rPr>
          <w:i/>
        </w:rPr>
        <w:t>de minimis.</w:t>
      </w:r>
    </w:p>
    <w:p w14:paraId="422903D1" w14:textId="77777777" w:rsid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3A84520D" w14:textId="77777777" w:rsid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lastRenderedPageBreak/>
        <w:t>Wraz z formularzem „Analiza zgodności projektu z polityką ochrony środowiska” wypełnionym zgodnie ze wz</w:t>
      </w:r>
      <w:r w:rsidR="007B0A9B">
        <w:t>orem wskazanym w załączniku nr 6</w:t>
      </w:r>
      <w:r w:rsidRPr="00111178">
        <w:t xml:space="preserve"> do regulaminu, wnioskodawca jest zobowiązany do przedstawienia „zezwolenia na inwestycję”</w:t>
      </w:r>
      <w:r w:rsidRPr="00111178">
        <w:rPr>
          <w:vertAlign w:val="superscript"/>
        </w:rPr>
        <w:footnoteReference w:id="3"/>
      </w:r>
      <w:r w:rsidRPr="00111178">
        <w:t xml:space="preserve">. </w:t>
      </w:r>
    </w:p>
    <w:p w14:paraId="014C907F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t>W przypadku braku możliwości przedłożenia w terminie określonym w ust. 2:</w:t>
      </w:r>
    </w:p>
    <w:p w14:paraId="71500E75" w14:textId="77777777" w:rsidR="00111178" w:rsidRPr="00111178" w:rsidRDefault="00111178" w:rsidP="009C69BA">
      <w:pPr>
        <w:numPr>
          <w:ilvl w:val="0"/>
          <w:numId w:val="63"/>
        </w:numPr>
        <w:spacing w:after="120" w:line="276" w:lineRule="auto"/>
        <w:ind w:left="782" w:hanging="357"/>
        <w:jc w:val="both"/>
      </w:pPr>
      <w:r w:rsidRPr="00111178">
        <w:t>„zezwolenia na inwestycję”, o którym mowa w ust. 5 lub</w:t>
      </w:r>
    </w:p>
    <w:p w14:paraId="274792CC" w14:textId="77777777" w:rsidR="00111178" w:rsidRPr="00111178" w:rsidRDefault="00111178" w:rsidP="009C69BA">
      <w:pPr>
        <w:numPr>
          <w:ilvl w:val="0"/>
          <w:numId w:val="63"/>
        </w:numPr>
        <w:spacing w:after="120" w:line="276" w:lineRule="auto"/>
        <w:ind w:left="782" w:hanging="357"/>
        <w:jc w:val="both"/>
      </w:pPr>
      <w:r w:rsidRPr="00111178">
        <w:t>dokumentów potwierdzających uzyskanie zewnętrznego finansowania projektu lub</w:t>
      </w:r>
    </w:p>
    <w:p w14:paraId="7FD75786" w14:textId="77777777" w:rsidR="00111178" w:rsidRPr="00111178" w:rsidRDefault="00111178" w:rsidP="009C69BA">
      <w:pPr>
        <w:numPr>
          <w:ilvl w:val="0"/>
          <w:numId w:val="63"/>
        </w:numPr>
        <w:spacing w:after="120" w:line="276" w:lineRule="auto"/>
        <w:ind w:left="782" w:hanging="357"/>
        <w:jc w:val="both"/>
      </w:pPr>
      <w:r w:rsidRPr="00111178">
        <w:rPr>
          <w:iCs/>
          <w:lang w:eastAsia="ar-SA"/>
        </w:rPr>
        <w:t xml:space="preserve">sprawozdania finansowego za ostatni rok obrotowy sporządzonego zgodnie </w:t>
      </w:r>
      <w:r w:rsidR="00427BC1">
        <w:rPr>
          <w:iCs/>
          <w:lang w:eastAsia="ar-SA"/>
        </w:rPr>
        <w:br/>
      </w:r>
      <w:r w:rsidRPr="00111178">
        <w:rPr>
          <w:iCs/>
          <w:lang w:eastAsia="ar-SA"/>
        </w:rPr>
        <w:t xml:space="preserve">z przepisami ustawy z dnia 29 września 1994 r. o rachunkowości (Dz. U. z 2018 r. poz. 395, z późn. zm.) potwierdzającego posiadanie </w:t>
      </w:r>
      <w:r w:rsidRPr="00111178">
        <w:rPr>
          <w:iCs/>
        </w:rPr>
        <w:t xml:space="preserve">deklarowanego przez wnioskodawcę we wniosku o dofinansowanie statusu odpowiednio </w:t>
      </w:r>
      <w:r w:rsidRPr="00111178">
        <w:rPr>
          <w:iCs/>
          <w:lang w:eastAsia="ar-SA"/>
        </w:rPr>
        <w:t>mikroprzedsiębiorcy, małego lub średniego przedsiębiorcy oraz potwierdzającego, że nie znajduje się on w trudnej sytuacji w rozumieniu unijnych przepisów dotyczących pomocy państwa</w:t>
      </w:r>
      <w:r w:rsidRPr="00111178">
        <w:rPr>
          <w:iCs/>
          <w:vertAlign w:val="superscript"/>
          <w:lang w:eastAsia="ar-SA"/>
        </w:rPr>
        <w:footnoteReference w:id="4"/>
      </w:r>
      <w:r w:rsidRPr="00111178">
        <w:rPr>
          <w:iCs/>
          <w:lang w:eastAsia="ar-SA"/>
        </w:rPr>
        <w:t>.</w:t>
      </w:r>
    </w:p>
    <w:p w14:paraId="0345B176" w14:textId="77777777" w:rsidR="007B0A9B" w:rsidRDefault="00111178" w:rsidP="00CE679B">
      <w:pPr>
        <w:spacing w:after="120" w:line="276" w:lineRule="auto"/>
        <w:ind w:left="425"/>
        <w:jc w:val="both"/>
        <w:rPr>
          <w:rFonts w:eastAsia="Calibri"/>
          <w:lang w:eastAsia="en-US"/>
        </w:rPr>
      </w:pPr>
      <w:r w:rsidRPr="00111178">
        <w:t xml:space="preserve">PARP może zawrzeć z wnioskodawcą </w:t>
      </w:r>
      <w:r w:rsidRPr="00111178">
        <w:rPr>
          <w:b/>
        </w:rPr>
        <w:t xml:space="preserve">umowę warunkową, </w:t>
      </w:r>
      <w:r w:rsidRPr="00111178">
        <w:t>o której mowa w § 3a wzoru umowy o dofinansowanie projektu.</w:t>
      </w:r>
    </w:p>
    <w:p w14:paraId="23B5A00F" w14:textId="7777777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W umowie warunkowej, o której mowa w ust. 6, wnioskodawca zostanie zobowiązany do dostarczenia „zezwolenia na inwestycję” (jeśli dotyczy), o którym mowa w ust. 5, </w:t>
      </w:r>
      <w:r w:rsidRPr="00111178">
        <w:br/>
        <w:t>w terminie do 6 miesięcy od dnia doręczenia wezwania, o którym mowa w ust. 1.</w:t>
      </w:r>
    </w:p>
    <w:p w14:paraId="09CA2F07" w14:textId="39A4773B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>W umowie warunkowej, o której mowa w ust. 6 wnioskodawca zostanie zobowiązany do dostarczenia dokumentów potwierdzających uzyskanie zewnętrznego finansowania projektu w terminie do 3 miesięcy od dnia zawarcia umowy o dofinansowanie.</w:t>
      </w:r>
    </w:p>
    <w:p w14:paraId="2C7AE647" w14:textId="7777777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W umowie warunkowej, o której mowa w ust. 6 wnioskodawca zostanie zobowiązany do dostarczenia sprawozdania finansowego w terminie 14 dni od upływu terminu przewidzianego na sporządzenie sprawozdania finansowego zgodnie </w:t>
      </w:r>
      <w:r w:rsidRPr="007B0A9B">
        <w:rPr>
          <w:iCs/>
          <w:lang w:eastAsia="ar-SA"/>
        </w:rPr>
        <w:t>z przepisami ustawy z dnia 29 września 1994 r. o rachunkowości</w:t>
      </w:r>
      <w:r w:rsidRPr="00111178">
        <w:t>.</w:t>
      </w:r>
    </w:p>
    <w:p w14:paraId="01E0F741" w14:textId="1FB13CD2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Po bezskutecznym upływie terminów na dostarczenie do PARP dokumentów, o których mowa w ust. 7, 8 i 9, umowa warunkowa, o której mowa w ust. 6, ulega rozwiązaniu. </w:t>
      </w:r>
      <w:r w:rsidRPr="00111178">
        <w:br/>
        <w:t xml:space="preserve">W przypadku, gdy dostarczenie dokumentów, o których mowa w ust. 6, nie będzie możliwe w terminach, o których mowa odpowiednio w ust. 7, 8 i 9, </w:t>
      </w:r>
      <w:r w:rsidR="002A591A">
        <w:t>b</w:t>
      </w:r>
      <w:r w:rsidRPr="00111178">
        <w:t xml:space="preserve">eneficjent może, przed upływem tych terminów, złożyć wniosek o wydłużenie terminu dostarczenia dokumentów wraz z uzasadnieniem. PARP może wydłużyć termin dostarczenia dokumentów o maksymalnie 90 dni. </w:t>
      </w:r>
    </w:p>
    <w:p w14:paraId="2E7A3AB4" w14:textId="77777777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PARP sprawdza kompletność oraz prawidłowość sporządzenia dokumentów dostarczonych przez wnioskodawcę, o których mowa w ust. 1. </w:t>
      </w:r>
    </w:p>
    <w:p w14:paraId="222AC6D0" w14:textId="77777777" w:rsidR="00111178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Umowa o dofinansowanie projektu zostanie zawarta jeżeli: </w:t>
      </w:r>
    </w:p>
    <w:p w14:paraId="5E19E59D" w14:textId="77777777" w:rsidR="00111178" w:rsidRPr="00111178" w:rsidRDefault="00111178" w:rsidP="00CE679B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A"/>
        </w:rPr>
        <w:t xml:space="preserve">projekt został umieszczony na zatwierdzonej </w:t>
      </w:r>
      <w:r w:rsidRPr="00111178">
        <w:rPr>
          <w:rFonts w:eastAsia="Calibri"/>
          <w:color w:val="000000"/>
        </w:rPr>
        <w:t>liście projektów wybranych do dofinansowania;</w:t>
      </w:r>
    </w:p>
    <w:p w14:paraId="228A9FE3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0"/>
        </w:rPr>
        <w:lastRenderedPageBreak/>
        <w:t xml:space="preserve">wnioskodawca dostarczył wszystkie dokumenty, o których mowa w ust. 1, </w:t>
      </w:r>
      <w:r w:rsidRPr="00111178">
        <w:rPr>
          <w:rFonts w:eastAsia="Calibri"/>
          <w:color w:val="000000"/>
        </w:rPr>
        <w:br/>
        <w:t>z zastrzeżeniem ust. 6;</w:t>
      </w:r>
    </w:p>
    <w:p w14:paraId="3B2497DD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 xml:space="preserve">brak jest negatywnych przesłanek zawarcia umowy o dofinansowanie projektu </w:t>
      </w:r>
      <w:r w:rsidRPr="00111178">
        <w:rPr>
          <w:rFonts w:eastAsia="Calibri"/>
          <w:color w:val="00000A"/>
        </w:rPr>
        <w:br/>
        <w:t>w wyniku weryfikacji dokumentów, o których mowa w ust. 1;</w:t>
      </w:r>
    </w:p>
    <w:p w14:paraId="05E2CF4F" w14:textId="77777777" w:rsidR="007B0A9B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>projekt spełnia wszystkie kryteria, na podstawie których został wybrany do dofinansowania.</w:t>
      </w:r>
    </w:p>
    <w:p w14:paraId="6937AAE4" w14:textId="4A99CD9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t xml:space="preserve">PARP może odmówić udzielenia dofinansowania na podstawie art. 6b ust. 4 i 4a ustawy </w:t>
      </w:r>
      <w:r w:rsidR="00467241">
        <w:rPr>
          <w:rFonts w:eastAsiaTheme="minorHAnsi"/>
          <w:lang w:eastAsia="en-US"/>
        </w:rPr>
        <w:br/>
      </w:r>
      <w:r w:rsidRPr="007B0A9B">
        <w:rPr>
          <w:rFonts w:eastAsiaTheme="minorHAnsi"/>
          <w:lang w:eastAsia="en-US"/>
        </w:rPr>
        <w:t>o PARP.</w:t>
      </w:r>
    </w:p>
    <w:p w14:paraId="17A3D894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03B860E3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B0A9B">
        <w:rPr>
          <w:rFonts w:eastAsiaTheme="minorHAnsi"/>
          <w:lang w:eastAsia="en-US"/>
        </w:rPr>
        <w:t xml:space="preserve">W przypadku projektu, w którym przewidziana jest konieczność uzyskania dokumentacji związanej z oceną oddziaływania na środowisko lub pozwolenia na budowę, zawarcie umowy o dofinansowanie projektu następuje najpóźniej w terminie 6 miesięcy od daty otrzymania przez wnioskodawcę wezwania, o którym mowa w ust. 1. </w:t>
      </w:r>
    </w:p>
    <w:p w14:paraId="5369A401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>Wzór umowy o dofinansowanie projektu stanowi załącznik nr 4 do regulaminu.</w:t>
      </w:r>
    </w:p>
    <w:p w14:paraId="16C59567" w14:textId="6D7712E3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 xml:space="preserve">Wnioskodawca zobowiązany jest do ustanowienia zabezpieczenia należytego wykonania umowy o dofinansowanie projektu w formie i na warunkach określonych w umowie </w:t>
      </w:r>
      <w:r w:rsidR="00467241">
        <w:br/>
      </w:r>
      <w:r w:rsidRPr="00111178">
        <w:t xml:space="preserve">o dofinansowanie projektu. </w:t>
      </w:r>
      <w:r w:rsidRPr="00111178">
        <w:rPr>
          <w:lang w:eastAsia="en-US"/>
        </w:rPr>
        <w:t xml:space="preserve">Instrukcja przyjmowania oraz zwrotu zabezpieczeń jest udostępniana </w:t>
      </w:r>
      <w:r w:rsidR="002A591A">
        <w:rPr>
          <w:lang w:eastAsia="en-US"/>
        </w:rPr>
        <w:t>w</w:t>
      </w:r>
      <w:r w:rsidRPr="00111178">
        <w:rPr>
          <w:lang w:eastAsia="en-US"/>
        </w:rPr>
        <w:t>nioskodawcom wraz z dokumentacją dotyczącą konkursu.</w:t>
      </w:r>
    </w:p>
    <w:p w14:paraId="35015E7F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rPr>
          <w:rFonts w:eastAsia="Calibri"/>
          <w:lang w:eastAsia="en-US"/>
        </w:rPr>
        <w:t xml:space="preserve">PARP zastrzega możliwość powierzenia czynności </w:t>
      </w:r>
      <w:r w:rsidRPr="00111178">
        <w:t xml:space="preserve">w zakresie weryfikacji statusu MŚP oraz trudnej sytuacji wnioskodawcy, o której mowa w art. 2 pkt 18 rozporządzenia </w:t>
      </w:r>
      <w:r w:rsidRPr="00111178">
        <w:rPr>
          <w:rFonts w:eastAsia="Calibri"/>
          <w:lang w:eastAsia="en-US"/>
        </w:rPr>
        <w:t xml:space="preserve">KE nr 651/2014, podmiotom zewnętrznym. </w:t>
      </w:r>
    </w:p>
    <w:p w14:paraId="1092EBF5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FC1143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3</w:t>
      </w:r>
      <w:r w:rsidR="001C39E1" w:rsidRPr="00427BC1">
        <w:rPr>
          <w:sz w:val="24"/>
          <w:szCs w:val="24"/>
        </w:rPr>
        <w:t xml:space="preserve">. </w:t>
      </w:r>
      <w:r w:rsidR="00AD3F38" w:rsidRPr="00427BC1">
        <w:rPr>
          <w:sz w:val="24"/>
          <w:szCs w:val="24"/>
        </w:rPr>
        <w:t>Procedura odwoławcza</w:t>
      </w:r>
    </w:p>
    <w:p w14:paraId="6F72C3DC" w14:textId="77777777" w:rsidR="009B4425" w:rsidRPr="009B4425" w:rsidRDefault="009B4425" w:rsidP="009B4425"/>
    <w:p w14:paraId="20D0AF0F" w14:textId="006309C3" w:rsidR="00AD3F38" w:rsidRPr="00E63EB0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="00EC4EC4">
        <w:rPr>
          <w:rFonts w:eastAsia="Calibri"/>
        </w:rPr>
        <w:t>,</w:t>
      </w:r>
      <w:r w:rsidRPr="00E63EB0">
        <w:t xml:space="preserve"> wnioskodawcy przysługuje prawo wniesienia</w:t>
      </w:r>
      <w:r w:rsidR="00111178">
        <w:t>,</w:t>
      </w:r>
      <w:r w:rsidRPr="00E63EB0">
        <w:t xml:space="preserve"> </w:t>
      </w:r>
      <w:r w:rsidR="00111178" w:rsidRPr="000A13D7">
        <w:t>w terminie 14 dni od dnia doręczenia informacji o negatywnej ocenie,</w:t>
      </w:r>
      <w:r w:rsidR="00111178">
        <w:t xml:space="preserve"> </w:t>
      </w:r>
      <w:r w:rsidRPr="00E63EB0">
        <w:t xml:space="preserve">protestu na zasadach określonych w </w:t>
      </w:r>
      <w:r w:rsidR="00D03514">
        <w:t>R</w:t>
      </w:r>
      <w:r w:rsidRPr="00E63EB0">
        <w:t xml:space="preserve">ozdziale 15 ustawy wdrożeniowej. </w:t>
      </w:r>
    </w:p>
    <w:p w14:paraId="00D887BA" w14:textId="77777777" w:rsidR="00111178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0DDBA3AB" w14:textId="0C1C7D10" w:rsidR="00111178" w:rsidRPr="000A13D7" w:rsidRDefault="0011117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0A13D7"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3E229A55" w14:textId="77777777" w:rsidR="00111178" w:rsidRPr="000A13D7" w:rsidRDefault="00111178" w:rsidP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Projekt może otrzymać dofinansowanie w wyniku procedury odwoławczej pod warunkiem, że spełnił kryteria wyboru projektów oraz pod warunkiem dostępności środków finansowych. Postanowienia § 12 stosuje się odpowiednio.</w:t>
      </w:r>
    </w:p>
    <w:p w14:paraId="50879199" w14:textId="77777777" w:rsidR="00111178" w:rsidRPr="009B4425" w:rsidRDefault="00111178" w:rsidP="009B4425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lastRenderedPageBreak/>
        <w:t>Protest może zostać wycofany przez wnioskodawcę zgodnie z art. 54a ustawy wdrożeniowej.</w:t>
      </w:r>
    </w:p>
    <w:p w14:paraId="7BE96D26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4</w:t>
      </w:r>
      <w:r w:rsidR="001C39E1" w:rsidRPr="00427BC1">
        <w:rPr>
          <w:sz w:val="24"/>
          <w:szCs w:val="24"/>
        </w:rPr>
        <w:t>.</w:t>
      </w:r>
      <w:r w:rsidR="00AD3F38" w:rsidRPr="00427BC1">
        <w:rPr>
          <w:sz w:val="24"/>
          <w:szCs w:val="24"/>
        </w:rPr>
        <w:t>Sposób udzielania wyjaśnień w kwestiach dotyczących konkursu</w:t>
      </w:r>
    </w:p>
    <w:p w14:paraId="450D5173" w14:textId="77777777" w:rsidR="009B4425" w:rsidRPr="009B4425" w:rsidRDefault="009B4425" w:rsidP="009B4425"/>
    <w:p w14:paraId="2AFA925A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Odesłanie do odpowiedzi na pytania dotyczące procedury wyboru projektów oraz składania wniosków o dofinansowanie w ramach działania (FAQ) znajduje się na stronie działania.</w:t>
      </w:r>
    </w:p>
    <w:p w14:paraId="69CD5DE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Ewentualne pytania można przesyłać za pośrednictwem formularza kontaktowego dostępnego na stronie działania.</w:t>
      </w:r>
    </w:p>
    <w:p w14:paraId="06989DF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 xml:space="preserve">Wyjaśnień dotyczących konkursu udziela również Informatorium PARP odpowiadając  na zapytania kierowane na adres poczty elektronicznej: </w:t>
      </w:r>
      <w:hyperlink r:id="rId12">
        <w:r w:rsidRPr="00111178">
          <w:rPr>
            <w:color w:val="0000FF"/>
            <w:u w:val="single"/>
          </w:rPr>
          <w:t>info@parp.gov.pl</w:t>
        </w:r>
      </w:hyperlink>
      <w:r w:rsidRPr="00111178">
        <w:t xml:space="preserve"> oraz telefonicznie pod numerami 22 432 89 91-93 lub 0 801 332 202.  </w:t>
      </w:r>
    </w:p>
    <w:p w14:paraId="27F10345" w14:textId="77777777" w:rsidR="00111178" w:rsidRPr="009B4425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 xml:space="preserve">Odpowiedzi na wszystkie pytania udzielane są indywidualnie. Odpowiedzi polegające na wyjaśnieniu procedur lub ich interpretacji są dodatkowo zamieszczane w FAQ, do których odesłanie znajduje się na stronie działania. </w:t>
      </w:r>
    </w:p>
    <w:p w14:paraId="64172F2D" w14:textId="77777777" w:rsidR="0013411C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5</w:t>
      </w:r>
      <w:r w:rsidR="001C39E1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końcowe</w:t>
      </w:r>
    </w:p>
    <w:p w14:paraId="6879CBA1" w14:textId="77777777" w:rsidR="009B4425" w:rsidRPr="009B4425" w:rsidRDefault="009B4425" w:rsidP="009B4425"/>
    <w:p w14:paraId="2385CA1D" w14:textId="77777777" w:rsidR="00DE6047" w:rsidRPr="00D263BA" w:rsidRDefault="00DE6047" w:rsidP="003A3E2C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D263BA">
        <w:t>PARP zastrzega sobie możliwość zmiany regulaminu, z zastrzeżeniem art. 41 ust. 3-4 ustawy wdrożeniowej.</w:t>
      </w:r>
    </w:p>
    <w:p w14:paraId="5EA78038" w14:textId="1E45E1AB" w:rsidR="0013411C" w:rsidRPr="00111178" w:rsidRDefault="0013411C" w:rsidP="003A3E2C">
      <w:pPr>
        <w:pStyle w:val="Default"/>
        <w:numPr>
          <w:ilvl w:val="0"/>
          <w:numId w:val="16"/>
        </w:numPr>
        <w:spacing w:after="120" w:line="276" w:lineRule="auto"/>
        <w:jc w:val="both"/>
        <w:rPr>
          <w:lang w:eastAsia="en-US"/>
        </w:rPr>
      </w:pPr>
      <w:r w:rsidRPr="00E63EB0">
        <w:rPr>
          <w:lang w:eastAsia="en-US"/>
        </w:rPr>
        <w:t>W przypadku zmiany regulaminu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PARP zamieszcza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informację o jego zmianie, aktualną treść</w:t>
      </w:r>
      <w:r w:rsidR="00F976CF">
        <w:rPr>
          <w:lang w:eastAsia="en-US"/>
        </w:rPr>
        <w:t xml:space="preserve"> regulaminu</w:t>
      </w:r>
      <w:r w:rsidRPr="00E63EB0">
        <w:rPr>
          <w:lang w:eastAsia="en-US"/>
        </w:rPr>
        <w:t xml:space="preserve">, uzasadnienie </w:t>
      </w:r>
      <w:r w:rsidR="00F976CF">
        <w:rPr>
          <w:lang w:eastAsia="en-US"/>
        </w:rPr>
        <w:t xml:space="preserve">zmiany </w:t>
      </w:r>
      <w:r w:rsidRPr="00E63EB0">
        <w:rPr>
          <w:lang w:eastAsia="en-US"/>
        </w:rPr>
        <w:t>oraz termin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od którego </w:t>
      </w:r>
      <w:r w:rsidR="00F976CF">
        <w:rPr>
          <w:lang w:eastAsia="en-US"/>
        </w:rPr>
        <w:t xml:space="preserve">stosuje się </w:t>
      </w:r>
      <w:r w:rsidRPr="00E63EB0">
        <w:rPr>
          <w:lang w:eastAsia="en-US"/>
        </w:rPr>
        <w:t>zmian</w:t>
      </w:r>
      <w:r w:rsidR="00F976CF">
        <w:rPr>
          <w:lang w:eastAsia="en-US"/>
        </w:rPr>
        <w:t>ę</w:t>
      </w:r>
      <w:r w:rsidRPr="00E63EB0">
        <w:rPr>
          <w:lang w:eastAsia="en-US"/>
        </w:rPr>
        <w:t xml:space="preserve">. PARP udostępnia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poprzednie wersje regulaminu.</w:t>
      </w:r>
      <w:r w:rsidR="00111178" w:rsidRPr="00111178">
        <w:rPr>
          <w:lang w:eastAsia="en-US"/>
        </w:rPr>
        <w:t xml:space="preserve"> PARP niezwłocznie informuje o zmianie regulaminu każdego wnioskodawcę.</w:t>
      </w:r>
    </w:p>
    <w:p w14:paraId="5AEEBB56" w14:textId="3B7D3285" w:rsidR="0013411C" w:rsidRPr="00E63EB0" w:rsidRDefault="0013411C" w:rsidP="00EC4934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E63EB0">
        <w:t>PARP zastrzega sobie możliwość anulowania konkursu</w:t>
      </w:r>
      <w:r w:rsidR="00111178">
        <w:t xml:space="preserve"> lub rundy konkursu</w:t>
      </w:r>
      <w:r w:rsidR="00F976CF">
        <w:t>,</w:t>
      </w:r>
      <w:r w:rsidRPr="00E63EB0">
        <w:t xml:space="preserve"> </w:t>
      </w:r>
      <w:r w:rsidR="00467241">
        <w:br/>
      </w:r>
      <w:r w:rsidRPr="00E63EB0">
        <w:t>w szczególności w przypadku wprowadzenia istotnych zmian w przepisach praw</w:t>
      </w:r>
      <w:r w:rsidR="00884A4E">
        <w:t xml:space="preserve"> </w:t>
      </w:r>
      <w:r w:rsidR="00467241">
        <w:br/>
      </w:r>
      <w:r w:rsidRPr="00E63EB0">
        <w:t xml:space="preserve">a mających wpływ na warunki przeprowadzenia konkursu lub zdarzeń o charakterze siły wyższej. </w:t>
      </w:r>
    </w:p>
    <w:p w14:paraId="1395A7AA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6F4DDAEE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18D4C2D1" w14:textId="77777777" w:rsidR="00E07FA2" w:rsidRPr="00E63EB0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Kryteria wyboru projektów wraz z podaniem ich znaczenia</w:t>
      </w:r>
    </w:p>
    <w:p w14:paraId="35428433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Wzór wn</w:t>
      </w:r>
      <w:r w:rsidR="00435A19">
        <w:t>iosku o dofinansowanie projektu</w:t>
      </w:r>
    </w:p>
    <w:p w14:paraId="53D65BD0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Instrukcja wypeł</w:t>
      </w:r>
      <w:r w:rsidR="00435A19">
        <w:t>niania wniosku o dofinansowanie</w:t>
      </w:r>
    </w:p>
    <w:p w14:paraId="618D18BF" w14:textId="77777777" w:rsidR="0033541B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 xml:space="preserve">Wzór umowy o dofinansowanie </w:t>
      </w:r>
      <w:r w:rsidR="0042154A">
        <w:t>Projektu</w:t>
      </w:r>
    </w:p>
    <w:p w14:paraId="7CFB3D96" w14:textId="77777777" w:rsidR="000B1FDA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14:paraId="4D769A67" w14:textId="77777777" w:rsidR="00612F8E" w:rsidRDefault="00612F8E" w:rsidP="003A3E2C">
      <w:pPr>
        <w:pStyle w:val="Akapitzlist"/>
        <w:numPr>
          <w:ilvl w:val="0"/>
          <w:numId w:val="31"/>
        </w:numPr>
        <w:spacing w:line="276" w:lineRule="auto"/>
      </w:pPr>
      <w:r>
        <w:t>Wzór formularza „Analiza zgodności projektu z polityką ochrony środowiska”</w:t>
      </w:r>
    </w:p>
    <w:p w14:paraId="708B130F" w14:textId="1FDB804A" w:rsidR="00612F8E" w:rsidRPr="00C41ABD" w:rsidRDefault="00D40A3A" w:rsidP="009C69BA">
      <w:pPr>
        <w:pStyle w:val="Akapitzlist"/>
        <w:numPr>
          <w:ilvl w:val="0"/>
          <w:numId w:val="31"/>
        </w:numPr>
        <w:spacing w:after="120" w:line="276" w:lineRule="auto"/>
        <w:jc w:val="both"/>
      </w:pPr>
      <w:r w:rsidRPr="00D40A3A">
        <w:rPr>
          <w:szCs w:val="20"/>
        </w:rPr>
        <w:t>Wzór promesy kredytowej</w:t>
      </w:r>
    </w:p>
    <w:p w14:paraId="31586925" w14:textId="1F1203F0" w:rsidR="00C41ABD" w:rsidRDefault="00C41ABD" w:rsidP="009C69BA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 xml:space="preserve">Wzór upoważnienia dla banku </w:t>
      </w:r>
      <w:r w:rsidRPr="005560A8">
        <w:t>do przekazania informacji objętych tajemnicą bankową</w:t>
      </w:r>
      <w:r>
        <w:t>.</w:t>
      </w:r>
    </w:p>
    <w:sectPr w:rsidR="00C41ABD" w:rsidSect="00263948"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7952" w14:textId="77777777" w:rsidR="0055418A" w:rsidRDefault="0055418A">
      <w:r>
        <w:separator/>
      </w:r>
    </w:p>
  </w:endnote>
  <w:endnote w:type="continuationSeparator" w:id="0">
    <w:p w14:paraId="7E877A82" w14:textId="77777777" w:rsidR="0055418A" w:rsidRDefault="0055418A">
      <w:r>
        <w:continuationSeparator/>
      </w:r>
    </w:p>
  </w:endnote>
  <w:endnote w:type="continuationNotice" w:id="1">
    <w:p w14:paraId="2B8E676E" w14:textId="77777777" w:rsidR="0055418A" w:rsidRDefault="00554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7183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AB310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57963D07" w14:textId="77777777" w:rsidR="00F90FB0" w:rsidRPr="00263948" w:rsidRDefault="00F90FB0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E27531">
              <w:rPr>
                <w:bCs/>
                <w:noProof/>
                <w:sz w:val="20"/>
              </w:rPr>
              <w:t>18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E27531">
              <w:rPr>
                <w:bCs/>
                <w:noProof/>
                <w:sz w:val="20"/>
              </w:rPr>
              <w:t>18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9B01920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4BC09C" w14:textId="77777777" w:rsidR="00F90FB0" w:rsidRDefault="00F90F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7247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28D2DF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349A" w14:textId="77777777" w:rsidR="0055418A" w:rsidRDefault="0055418A">
      <w:r>
        <w:separator/>
      </w:r>
    </w:p>
  </w:footnote>
  <w:footnote w:type="continuationSeparator" w:id="0">
    <w:p w14:paraId="6BBF72F4" w14:textId="77777777" w:rsidR="0055418A" w:rsidRDefault="0055418A">
      <w:r>
        <w:continuationSeparator/>
      </w:r>
    </w:p>
  </w:footnote>
  <w:footnote w:type="continuationNotice" w:id="1">
    <w:p w14:paraId="56735D5B" w14:textId="77777777" w:rsidR="0055418A" w:rsidRDefault="0055418A"/>
  </w:footnote>
  <w:footnote w:id="2">
    <w:p w14:paraId="732283EF" w14:textId="162638A2" w:rsidR="00F90FB0" w:rsidRPr="00E51ECF" w:rsidRDefault="00F90FB0" w:rsidP="00E51ECF">
      <w:pPr>
        <w:spacing w:after="120" w:line="276" w:lineRule="auto"/>
        <w:jc w:val="both"/>
        <w:rPr>
          <w:sz w:val="16"/>
          <w:szCs w:val="16"/>
        </w:rPr>
      </w:pPr>
      <w:r w:rsidRPr="00E51ECF">
        <w:rPr>
          <w:rStyle w:val="Odwoanieprzypisudolnego"/>
          <w:sz w:val="16"/>
          <w:szCs w:val="16"/>
        </w:rPr>
        <w:footnoteRef/>
      </w:r>
      <w:r w:rsidRPr="00E51ECF">
        <w:rPr>
          <w:sz w:val="16"/>
          <w:szCs w:val="16"/>
        </w:rPr>
        <w:t xml:space="preserve"> </w:t>
      </w:r>
      <w:r w:rsidR="005E2792">
        <w:rPr>
          <w:sz w:val="16"/>
          <w:szCs w:val="16"/>
        </w:rPr>
        <w:t>D</w:t>
      </w:r>
      <w:r w:rsidRPr="00E51ECF">
        <w:rPr>
          <w:sz w:val="16"/>
          <w:szCs w:val="16"/>
        </w:rPr>
        <w:t>opuszczalną formą inwestycji początkowej w działaniu 1.4 II etap</w:t>
      </w:r>
      <w:r w:rsidRPr="00E51ECF">
        <w:rPr>
          <w:b/>
          <w:sz w:val="16"/>
          <w:szCs w:val="16"/>
        </w:rPr>
        <w:t xml:space="preserve"> </w:t>
      </w:r>
      <w:r w:rsidRPr="00DF046B">
        <w:rPr>
          <w:sz w:val="16"/>
          <w:szCs w:val="16"/>
        </w:rPr>
        <w:t>jest inwestycja w rzeczowe aktywa trwałe lub wartości niematerialne i prawne związane z</w:t>
      </w:r>
      <w:r w:rsidR="00E15597" w:rsidRPr="00DF046B">
        <w:rPr>
          <w:sz w:val="16"/>
          <w:szCs w:val="16"/>
        </w:rPr>
        <w:t>e zwiększeniem zdolności produkcyjnej istniejącego zakładu albo</w:t>
      </w:r>
      <w:r w:rsidRPr="00DF046B">
        <w:rPr>
          <w:sz w:val="16"/>
          <w:szCs w:val="16"/>
        </w:rPr>
        <w:t xml:space="preserve"> dywersyfikacją produkcji zakładu poprzez wprowadzenie produktów uprzednio nieprodukowanych w zakładzie</w:t>
      </w:r>
      <w:r w:rsidR="00E15597" w:rsidRPr="00DF046B">
        <w:rPr>
          <w:sz w:val="16"/>
          <w:szCs w:val="16"/>
        </w:rPr>
        <w:t xml:space="preserve"> albo</w:t>
      </w:r>
      <w:r w:rsidR="00E15597" w:rsidRPr="005E2792">
        <w:t xml:space="preserve"> </w:t>
      </w:r>
      <w:r w:rsidR="00E15597" w:rsidRPr="005E2792">
        <w:rPr>
          <w:sz w:val="16"/>
          <w:szCs w:val="16"/>
        </w:rPr>
        <w:t>zasadniczą zmianą dotyczącą procesu produkcyjnego istniejącego zakładu</w:t>
      </w:r>
      <w:r w:rsidRPr="00E51ECF">
        <w:rPr>
          <w:sz w:val="16"/>
          <w:szCs w:val="16"/>
        </w:rPr>
        <w:t>.</w:t>
      </w:r>
    </w:p>
    <w:p w14:paraId="0E2C535A" w14:textId="77777777" w:rsidR="00F90FB0" w:rsidRDefault="00F90FB0">
      <w:pPr>
        <w:pStyle w:val="Tekstprzypisudolnego"/>
      </w:pPr>
    </w:p>
  </w:footnote>
  <w:footnote w:id="3">
    <w:p w14:paraId="558649FC" w14:textId="77777777" w:rsidR="00111178" w:rsidRPr="00892032" w:rsidRDefault="00111178" w:rsidP="00111178">
      <w:pPr>
        <w:pStyle w:val="Tekstprzypisudolnego"/>
        <w:rPr>
          <w:sz w:val="16"/>
          <w:szCs w:val="16"/>
        </w:rPr>
      </w:pPr>
      <w:r w:rsidRPr="008920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2032">
        <w:rPr>
          <w:rFonts w:cs="Arial"/>
          <w:sz w:val="16"/>
          <w:szCs w:val="16"/>
        </w:rPr>
        <w:t>Przez „zezwolenie na inwestycję” należy rozumieć prawomocną decyzję budowlaną (pozwolenie na budowę albo decyzja o zezwoleniu na realizację inwestycji), ewentualnie inną  decyzję administracyjną kończącą przygotowanie procesu inwestycyjnego (np. decyzję o środowiskowych uwarunkowaniach), jeżeli dla danego przedsięwzięcia przepisy prawa nie przewidują konieczności uzyskania pozwolenia na budowę.</w:t>
      </w:r>
    </w:p>
  </w:footnote>
  <w:footnote w:id="4">
    <w:p w14:paraId="1BD11B6C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C72AA6"/>
    <w:multiLevelType w:val="hybridMultilevel"/>
    <w:tmpl w:val="98B49548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42F35F8"/>
    <w:multiLevelType w:val="multilevel"/>
    <w:tmpl w:val="EB6048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641910"/>
    <w:multiLevelType w:val="hybridMultilevel"/>
    <w:tmpl w:val="8FA40B6E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8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0"/>
  </w:num>
  <w:num w:numId="4">
    <w:abstractNumId w:val="52"/>
  </w:num>
  <w:num w:numId="5">
    <w:abstractNumId w:val="48"/>
  </w:num>
  <w:num w:numId="6">
    <w:abstractNumId w:val="39"/>
  </w:num>
  <w:num w:numId="7">
    <w:abstractNumId w:val="50"/>
  </w:num>
  <w:num w:numId="8">
    <w:abstractNumId w:val="38"/>
  </w:num>
  <w:num w:numId="9">
    <w:abstractNumId w:val="34"/>
  </w:num>
  <w:num w:numId="10">
    <w:abstractNumId w:val="10"/>
  </w:num>
  <w:num w:numId="11">
    <w:abstractNumId w:val="1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1"/>
  </w:num>
  <w:num w:numId="21">
    <w:abstractNumId w:val="40"/>
  </w:num>
  <w:num w:numId="22">
    <w:abstractNumId w:val="6"/>
  </w:num>
  <w:num w:numId="23">
    <w:abstractNumId w:val="29"/>
  </w:num>
  <w:num w:numId="24">
    <w:abstractNumId w:val="37"/>
  </w:num>
  <w:num w:numId="25">
    <w:abstractNumId w:val="21"/>
  </w:num>
  <w:num w:numId="26">
    <w:abstractNumId w:val="8"/>
  </w:num>
  <w:num w:numId="27">
    <w:abstractNumId w:val="63"/>
  </w:num>
  <w:num w:numId="28">
    <w:abstractNumId w:val="31"/>
  </w:num>
  <w:num w:numId="29">
    <w:abstractNumId w:val="56"/>
  </w:num>
  <w:num w:numId="30">
    <w:abstractNumId w:val="1"/>
  </w:num>
  <w:num w:numId="31">
    <w:abstractNumId w:val="18"/>
  </w:num>
  <w:num w:numId="32">
    <w:abstractNumId w:val="5"/>
  </w:num>
  <w:num w:numId="33">
    <w:abstractNumId w:val="57"/>
  </w:num>
  <w:num w:numId="34">
    <w:abstractNumId w:val="9"/>
  </w:num>
  <w:num w:numId="35">
    <w:abstractNumId w:val="59"/>
  </w:num>
  <w:num w:numId="36">
    <w:abstractNumId w:val="47"/>
  </w:num>
  <w:num w:numId="37">
    <w:abstractNumId w:val="0"/>
  </w:num>
  <w:num w:numId="38">
    <w:abstractNumId w:val="46"/>
  </w:num>
  <w:num w:numId="39">
    <w:abstractNumId w:val="45"/>
  </w:num>
  <w:num w:numId="40">
    <w:abstractNumId w:val="65"/>
  </w:num>
  <w:num w:numId="41">
    <w:abstractNumId w:val="43"/>
  </w:num>
  <w:num w:numId="42">
    <w:abstractNumId w:val="3"/>
  </w:num>
  <w:num w:numId="43">
    <w:abstractNumId w:val="33"/>
  </w:num>
  <w:num w:numId="44">
    <w:abstractNumId w:val="64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28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2"/>
  </w:num>
  <w:num w:numId="54">
    <w:abstractNumId w:val="23"/>
  </w:num>
  <w:num w:numId="55">
    <w:abstractNumId w:val="49"/>
  </w:num>
  <w:num w:numId="56">
    <w:abstractNumId w:val="68"/>
  </w:num>
  <w:num w:numId="57">
    <w:abstractNumId w:val="32"/>
  </w:num>
  <w:num w:numId="58">
    <w:abstractNumId w:val="17"/>
  </w:num>
  <w:num w:numId="59">
    <w:abstractNumId w:val="62"/>
  </w:num>
  <w:num w:numId="60">
    <w:abstractNumId w:val="19"/>
  </w:num>
  <w:num w:numId="61">
    <w:abstractNumId w:val="53"/>
  </w:num>
  <w:num w:numId="62">
    <w:abstractNumId w:val="42"/>
  </w:num>
  <w:num w:numId="63">
    <w:abstractNumId w:val="35"/>
  </w:num>
  <w:num w:numId="64">
    <w:abstractNumId w:val="11"/>
  </w:num>
  <w:num w:numId="65">
    <w:abstractNumId w:val="55"/>
  </w:num>
  <w:num w:numId="66">
    <w:abstractNumId w:val="27"/>
  </w:num>
  <w:num w:numId="67">
    <w:abstractNumId w:val="13"/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</w:num>
  <w:num w:numId="70">
    <w:abstractNumId w:val="4"/>
  </w:num>
  <w:num w:numId="71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DAD"/>
    <w:rsid w:val="00006B3D"/>
    <w:rsid w:val="0000723B"/>
    <w:rsid w:val="0001149B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2788E"/>
    <w:rsid w:val="0003048A"/>
    <w:rsid w:val="00032BF4"/>
    <w:rsid w:val="00033450"/>
    <w:rsid w:val="00033B0B"/>
    <w:rsid w:val="00034814"/>
    <w:rsid w:val="00035B07"/>
    <w:rsid w:val="00036967"/>
    <w:rsid w:val="00037087"/>
    <w:rsid w:val="000374BC"/>
    <w:rsid w:val="00037647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70D0C"/>
    <w:rsid w:val="000713E3"/>
    <w:rsid w:val="0007174A"/>
    <w:rsid w:val="000730A6"/>
    <w:rsid w:val="000732FA"/>
    <w:rsid w:val="0007704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39B1"/>
    <w:rsid w:val="000A5FFD"/>
    <w:rsid w:val="000A62DC"/>
    <w:rsid w:val="000B0221"/>
    <w:rsid w:val="000B0E92"/>
    <w:rsid w:val="000B1C6D"/>
    <w:rsid w:val="000B1FDA"/>
    <w:rsid w:val="000B384D"/>
    <w:rsid w:val="000B7518"/>
    <w:rsid w:val="000C0D1E"/>
    <w:rsid w:val="000C452E"/>
    <w:rsid w:val="000C4D40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F5E83"/>
    <w:rsid w:val="00100DF6"/>
    <w:rsid w:val="00101083"/>
    <w:rsid w:val="00101FF7"/>
    <w:rsid w:val="00106F19"/>
    <w:rsid w:val="00106FC2"/>
    <w:rsid w:val="001072D7"/>
    <w:rsid w:val="001076E9"/>
    <w:rsid w:val="00107F3C"/>
    <w:rsid w:val="00111178"/>
    <w:rsid w:val="001116B1"/>
    <w:rsid w:val="0011222E"/>
    <w:rsid w:val="00113B62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20D2"/>
    <w:rsid w:val="00155F20"/>
    <w:rsid w:val="0016009B"/>
    <w:rsid w:val="00160DD6"/>
    <w:rsid w:val="00162A4D"/>
    <w:rsid w:val="001630C2"/>
    <w:rsid w:val="0016413E"/>
    <w:rsid w:val="00164A1F"/>
    <w:rsid w:val="001655C4"/>
    <w:rsid w:val="00176FDD"/>
    <w:rsid w:val="0017770C"/>
    <w:rsid w:val="00180231"/>
    <w:rsid w:val="00181125"/>
    <w:rsid w:val="001812EF"/>
    <w:rsid w:val="001825FB"/>
    <w:rsid w:val="00185AAA"/>
    <w:rsid w:val="00187374"/>
    <w:rsid w:val="00194497"/>
    <w:rsid w:val="0019516C"/>
    <w:rsid w:val="001958DE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967"/>
    <w:rsid w:val="001B2B00"/>
    <w:rsid w:val="001B2F6D"/>
    <w:rsid w:val="001B3DF2"/>
    <w:rsid w:val="001B45FF"/>
    <w:rsid w:val="001B64F0"/>
    <w:rsid w:val="001B6CA4"/>
    <w:rsid w:val="001B7C87"/>
    <w:rsid w:val="001C1947"/>
    <w:rsid w:val="001C2B4B"/>
    <w:rsid w:val="001C39E1"/>
    <w:rsid w:val="001C3EB1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6FBA"/>
    <w:rsid w:val="001E75CB"/>
    <w:rsid w:val="001E795D"/>
    <w:rsid w:val="001F2B14"/>
    <w:rsid w:val="001F4EBD"/>
    <w:rsid w:val="001F5D8D"/>
    <w:rsid w:val="001F6AD4"/>
    <w:rsid w:val="002008DE"/>
    <w:rsid w:val="00200940"/>
    <w:rsid w:val="00201046"/>
    <w:rsid w:val="00206C0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41D6C"/>
    <w:rsid w:val="00242576"/>
    <w:rsid w:val="00247D72"/>
    <w:rsid w:val="00247E2B"/>
    <w:rsid w:val="002525CD"/>
    <w:rsid w:val="00254FF5"/>
    <w:rsid w:val="00256930"/>
    <w:rsid w:val="002630D4"/>
    <w:rsid w:val="00263948"/>
    <w:rsid w:val="00264840"/>
    <w:rsid w:val="002651DF"/>
    <w:rsid w:val="0026686C"/>
    <w:rsid w:val="002678A0"/>
    <w:rsid w:val="002720F0"/>
    <w:rsid w:val="00273BE6"/>
    <w:rsid w:val="00275ABA"/>
    <w:rsid w:val="00280D0E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CE9"/>
    <w:rsid w:val="002A2FC3"/>
    <w:rsid w:val="002A36B7"/>
    <w:rsid w:val="002A41FA"/>
    <w:rsid w:val="002A519A"/>
    <w:rsid w:val="002A591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137E"/>
    <w:rsid w:val="002D24E0"/>
    <w:rsid w:val="002D40F9"/>
    <w:rsid w:val="002D5644"/>
    <w:rsid w:val="002D5AB8"/>
    <w:rsid w:val="002D797D"/>
    <w:rsid w:val="002E0901"/>
    <w:rsid w:val="002E1E4E"/>
    <w:rsid w:val="002E2109"/>
    <w:rsid w:val="002F1CD9"/>
    <w:rsid w:val="002F2715"/>
    <w:rsid w:val="002F31B3"/>
    <w:rsid w:val="002F6263"/>
    <w:rsid w:val="00302D60"/>
    <w:rsid w:val="0030375B"/>
    <w:rsid w:val="003037F0"/>
    <w:rsid w:val="00307B02"/>
    <w:rsid w:val="00310087"/>
    <w:rsid w:val="00310F51"/>
    <w:rsid w:val="0031145D"/>
    <w:rsid w:val="00316F10"/>
    <w:rsid w:val="003175CB"/>
    <w:rsid w:val="0032451B"/>
    <w:rsid w:val="003264DA"/>
    <w:rsid w:val="0032773E"/>
    <w:rsid w:val="0032778F"/>
    <w:rsid w:val="00333855"/>
    <w:rsid w:val="003345AC"/>
    <w:rsid w:val="0033541B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412B"/>
    <w:rsid w:val="00364B5B"/>
    <w:rsid w:val="00365388"/>
    <w:rsid w:val="003669DF"/>
    <w:rsid w:val="00367204"/>
    <w:rsid w:val="00371DDD"/>
    <w:rsid w:val="00374067"/>
    <w:rsid w:val="00375369"/>
    <w:rsid w:val="003758BD"/>
    <w:rsid w:val="00380E00"/>
    <w:rsid w:val="00382057"/>
    <w:rsid w:val="00384A93"/>
    <w:rsid w:val="00384ACD"/>
    <w:rsid w:val="00385A89"/>
    <w:rsid w:val="0038671C"/>
    <w:rsid w:val="003874A4"/>
    <w:rsid w:val="0039204C"/>
    <w:rsid w:val="003924AA"/>
    <w:rsid w:val="00392CE6"/>
    <w:rsid w:val="003933E2"/>
    <w:rsid w:val="003A019A"/>
    <w:rsid w:val="003A0B6C"/>
    <w:rsid w:val="003A3E2C"/>
    <w:rsid w:val="003A3EE7"/>
    <w:rsid w:val="003A69D0"/>
    <w:rsid w:val="003B0AE1"/>
    <w:rsid w:val="003B3494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14AF"/>
    <w:rsid w:val="003D1A5B"/>
    <w:rsid w:val="003D263F"/>
    <w:rsid w:val="003D3541"/>
    <w:rsid w:val="003D5E99"/>
    <w:rsid w:val="003D7050"/>
    <w:rsid w:val="003E1B4F"/>
    <w:rsid w:val="003E63D3"/>
    <w:rsid w:val="003E6945"/>
    <w:rsid w:val="003F0629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F82"/>
    <w:rsid w:val="00433009"/>
    <w:rsid w:val="004354DE"/>
    <w:rsid w:val="00435A19"/>
    <w:rsid w:val="00436758"/>
    <w:rsid w:val="00436E3C"/>
    <w:rsid w:val="00442372"/>
    <w:rsid w:val="00442AA6"/>
    <w:rsid w:val="004446A2"/>
    <w:rsid w:val="004455CC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4AF3"/>
    <w:rsid w:val="00497496"/>
    <w:rsid w:val="004A0972"/>
    <w:rsid w:val="004A0C11"/>
    <w:rsid w:val="004A27D1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FF6"/>
    <w:rsid w:val="004C5001"/>
    <w:rsid w:val="004C5898"/>
    <w:rsid w:val="004C60C1"/>
    <w:rsid w:val="004D207B"/>
    <w:rsid w:val="004D28D1"/>
    <w:rsid w:val="004D3134"/>
    <w:rsid w:val="004D38CE"/>
    <w:rsid w:val="004D694F"/>
    <w:rsid w:val="004D7190"/>
    <w:rsid w:val="004E5986"/>
    <w:rsid w:val="004E7CC5"/>
    <w:rsid w:val="004F01FE"/>
    <w:rsid w:val="004F028B"/>
    <w:rsid w:val="004F4E7D"/>
    <w:rsid w:val="004F79B0"/>
    <w:rsid w:val="004F7E34"/>
    <w:rsid w:val="00501DD3"/>
    <w:rsid w:val="00501E29"/>
    <w:rsid w:val="00503345"/>
    <w:rsid w:val="005038CF"/>
    <w:rsid w:val="00504051"/>
    <w:rsid w:val="00506210"/>
    <w:rsid w:val="005064F1"/>
    <w:rsid w:val="0050787C"/>
    <w:rsid w:val="00507A61"/>
    <w:rsid w:val="00512FF2"/>
    <w:rsid w:val="005134A4"/>
    <w:rsid w:val="00513B69"/>
    <w:rsid w:val="00516C4C"/>
    <w:rsid w:val="00522E54"/>
    <w:rsid w:val="00526980"/>
    <w:rsid w:val="005269D0"/>
    <w:rsid w:val="0053052A"/>
    <w:rsid w:val="00530956"/>
    <w:rsid w:val="005329DE"/>
    <w:rsid w:val="00532A04"/>
    <w:rsid w:val="0054394C"/>
    <w:rsid w:val="0054673F"/>
    <w:rsid w:val="0055418A"/>
    <w:rsid w:val="00554539"/>
    <w:rsid w:val="00555266"/>
    <w:rsid w:val="00556A89"/>
    <w:rsid w:val="00561C4E"/>
    <w:rsid w:val="00563D6B"/>
    <w:rsid w:val="0056447E"/>
    <w:rsid w:val="00564F5F"/>
    <w:rsid w:val="00565783"/>
    <w:rsid w:val="00565F35"/>
    <w:rsid w:val="00565F71"/>
    <w:rsid w:val="0057141C"/>
    <w:rsid w:val="00574067"/>
    <w:rsid w:val="005748D2"/>
    <w:rsid w:val="0057589F"/>
    <w:rsid w:val="00576BDC"/>
    <w:rsid w:val="005776F4"/>
    <w:rsid w:val="00577AB0"/>
    <w:rsid w:val="00581E89"/>
    <w:rsid w:val="0058238F"/>
    <w:rsid w:val="00583270"/>
    <w:rsid w:val="00583F42"/>
    <w:rsid w:val="005848A2"/>
    <w:rsid w:val="00587C4B"/>
    <w:rsid w:val="00587F85"/>
    <w:rsid w:val="00591D57"/>
    <w:rsid w:val="005925F6"/>
    <w:rsid w:val="00593EC3"/>
    <w:rsid w:val="00594E3B"/>
    <w:rsid w:val="00596267"/>
    <w:rsid w:val="0059641D"/>
    <w:rsid w:val="0059653D"/>
    <w:rsid w:val="005975C1"/>
    <w:rsid w:val="00597F80"/>
    <w:rsid w:val="005A3CA8"/>
    <w:rsid w:val="005A4982"/>
    <w:rsid w:val="005A5547"/>
    <w:rsid w:val="005A6DBB"/>
    <w:rsid w:val="005A797B"/>
    <w:rsid w:val="005B20C8"/>
    <w:rsid w:val="005B3B3F"/>
    <w:rsid w:val="005B798C"/>
    <w:rsid w:val="005C09D2"/>
    <w:rsid w:val="005C239A"/>
    <w:rsid w:val="005C2C05"/>
    <w:rsid w:val="005C5C80"/>
    <w:rsid w:val="005C5CB1"/>
    <w:rsid w:val="005C67AF"/>
    <w:rsid w:val="005D0542"/>
    <w:rsid w:val="005D086E"/>
    <w:rsid w:val="005D0DBE"/>
    <w:rsid w:val="005D1207"/>
    <w:rsid w:val="005D14C8"/>
    <w:rsid w:val="005D17BA"/>
    <w:rsid w:val="005D2FFD"/>
    <w:rsid w:val="005D6E3F"/>
    <w:rsid w:val="005D77EC"/>
    <w:rsid w:val="005E1B0D"/>
    <w:rsid w:val="005E1F89"/>
    <w:rsid w:val="005E2792"/>
    <w:rsid w:val="005E29BF"/>
    <w:rsid w:val="005E4657"/>
    <w:rsid w:val="005E4D91"/>
    <w:rsid w:val="005E61DE"/>
    <w:rsid w:val="005F1DF6"/>
    <w:rsid w:val="005F25D2"/>
    <w:rsid w:val="005F2CEF"/>
    <w:rsid w:val="005F418A"/>
    <w:rsid w:val="005F47B5"/>
    <w:rsid w:val="005F7CE6"/>
    <w:rsid w:val="005F7E36"/>
    <w:rsid w:val="00601291"/>
    <w:rsid w:val="00602BBF"/>
    <w:rsid w:val="006033E1"/>
    <w:rsid w:val="00603F12"/>
    <w:rsid w:val="00604713"/>
    <w:rsid w:val="0061178A"/>
    <w:rsid w:val="00612F8E"/>
    <w:rsid w:val="00613937"/>
    <w:rsid w:val="00613DC5"/>
    <w:rsid w:val="00614B30"/>
    <w:rsid w:val="0062323F"/>
    <w:rsid w:val="0062595C"/>
    <w:rsid w:val="00625B9B"/>
    <w:rsid w:val="006262D8"/>
    <w:rsid w:val="00627247"/>
    <w:rsid w:val="00630131"/>
    <w:rsid w:val="006356B5"/>
    <w:rsid w:val="00636B25"/>
    <w:rsid w:val="00641246"/>
    <w:rsid w:val="006430DE"/>
    <w:rsid w:val="00644F2B"/>
    <w:rsid w:val="006452B0"/>
    <w:rsid w:val="006505F0"/>
    <w:rsid w:val="0065105A"/>
    <w:rsid w:val="0065141A"/>
    <w:rsid w:val="00652F8B"/>
    <w:rsid w:val="0065367A"/>
    <w:rsid w:val="0065584B"/>
    <w:rsid w:val="00656C6B"/>
    <w:rsid w:val="00657C91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77D9"/>
    <w:rsid w:val="00670E2D"/>
    <w:rsid w:val="00681100"/>
    <w:rsid w:val="00681894"/>
    <w:rsid w:val="00686090"/>
    <w:rsid w:val="00690402"/>
    <w:rsid w:val="00690EB3"/>
    <w:rsid w:val="00694BFA"/>
    <w:rsid w:val="00695049"/>
    <w:rsid w:val="00695C11"/>
    <w:rsid w:val="006A0589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1A7D"/>
    <w:rsid w:val="006B3E28"/>
    <w:rsid w:val="006B6E8F"/>
    <w:rsid w:val="006C146F"/>
    <w:rsid w:val="006C6479"/>
    <w:rsid w:val="006C6759"/>
    <w:rsid w:val="006D19C7"/>
    <w:rsid w:val="006D3DA7"/>
    <w:rsid w:val="006D4314"/>
    <w:rsid w:val="006D5E4D"/>
    <w:rsid w:val="006E2F5B"/>
    <w:rsid w:val="006E591F"/>
    <w:rsid w:val="006F0239"/>
    <w:rsid w:val="006F139A"/>
    <w:rsid w:val="006F59E2"/>
    <w:rsid w:val="006F70F6"/>
    <w:rsid w:val="007020C0"/>
    <w:rsid w:val="0070269A"/>
    <w:rsid w:val="0070465C"/>
    <w:rsid w:val="007053DB"/>
    <w:rsid w:val="007056B3"/>
    <w:rsid w:val="007118DE"/>
    <w:rsid w:val="00711D64"/>
    <w:rsid w:val="0071506A"/>
    <w:rsid w:val="00716D34"/>
    <w:rsid w:val="0071704F"/>
    <w:rsid w:val="0071750A"/>
    <w:rsid w:val="00717E6B"/>
    <w:rsid w:val="00721A26"/>
    <w:rsid w:val="00721B3E"/>
    <w:rsid w:val="007226DE"/>
    <w:rsid w:val="00724414"/>
    <w:rsid w:val="00725D7F"/>
    <w:rsid w:val="00726DB5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A0A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A0126"/>
    <w:rsid w:val="007A0E78"/>
    <w:rsid w:val="007A18F4"/>
    <w:rsid w:val="007A2927"/>
    <w:rsid w:val="007A40D7"/>
    <w:rsid w:val="007A7593"/>
    <w:rsid w:val="007B0922"/>
    <w:rsid w:val="007B0A9B"/>
    <w:rsid w:val="007B2121"/>
    <w:rsid w:val="007B21A0"/>
    <w:rsid w:val="007B68AA"/>
    <w:rsid w:val="007C09DA"/>
    <w:rsid w:val="007C1F91"/>
    <w:rsid w:val="007C645E"/>
    <w:rsid w:val="007C7695"/>
    <w:rsid w:val="007D3CE2"/>
    <w:rsid w:val="007D3D39"/>
    <w:rsid w:val="007D3F07"/>
    <w:rsid w:val="007D43CA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2380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1A4B"/>
    <w:rsid w:val="00853614"/>
    <w:rsid w:val="0085386A"/>
    <w:rsid w:val="00854FC9"/>
    <w:rsid w:val="00856EDA"/>
    <w:rsid w:val="00857C5F"/>
    <w:rsid w:val="0086063F"/>
    <w:rsid w:val="00860ADD"/>
    <w:rsid w:val="00864023"/>
    <w:rsid w:val="008647EF"/>
    <w:rsid w:val="00865323"/>
    <w:rsid w:val="00865E75"/>
    <w:rsid w:val="0086773B"/>
    <w:rsid w:val="0087314E"/>
    <w:rsid w:val="00873F6A"/>
    <w:rsid w:val="00876A45"/>
    <w:rsid w:val="00884A4E"/>
    <w:rsid w:val="00886B8D"/>
    <w:rsid w:val="00887F47"/>
    <w:rsid w:val="00895179"/>
    <w:rsid w:val="00895CD7"/>
    <w:rsid w:val="00896C61"/>
    <w:rsid w:val="00896CDD"/>
    <w:rsid w:val="008A01AC"/>
    <w:rsid w:val="008A3CE3"/>
    <w:rsid w:val="008B0A98"/>
    <w:rsid w:val="008B11DD"/>
    <w:rsid w:val="008B391B"/>
    <w:rsid w:val="008B54BD"/>
    <w:rsid w:val="008B5DFA"/>
    <w:rsid w:val="008B756C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B12"/>
    <w:rsid w:val="008E6E6F"/>
    <w:rsid w:val="008E7F66"/>
    <w:rsid w:val="008F05B6"/>
    <w:rsid w:val="008F0C47"/>
    <w:rsid w:val="008F0F76"/>
    <w:rsid w:val="008F1A6F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21F8"/>
    <w:rsid w:val="0093516C"/>
    <w:rsid w:val="00936365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2299"/>
    <w:rsid w:val="00964AA4"/>
    <w:rsid w:val="009656B8"/>
    <w:rsid w:val="009661DB"/>
    <w:rsid w:val="00967BE8"/>
    <w:rsid w:val="00973265"/>
    <w:rsid w:val="0097653F"/>
    <w:rsid w:val="0098015F"/>
    <w:rsid w:val="009810F0"/>
    <w:rsid w:val="00981552"/>
    <w:rsid w:val="009846E6"/>
    <w:rsid w:val="00985220"/>
    <w:rsid w:val="00986549"/>
    <w:rsid w:val="0099109D"/>
    <w:rsid w:val="00991678"/>
    <w:rsid w:val="00991763"/>
    <w:rsid w:val="009926BC"/>
    <w:rsid w:val="00993DA2"/>
    <w:rsid w:val="0099589C"/>
    <w:rsid w:val="009A2BD3"/>
    <w:rsid w:val="009A4997"/>
    <w:rsid w:val="009A4AD0"/>
    <w:rsid w:val="009A5E82"/>
    <w:rsid w:val="009A5F5B"/>
    <w:rsid w:val="009A69EC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714"/>
    <w:rsid w:val="009F5D2E"/>
    <w:rsid w:val="009F66EF"/>
    <w:rsid w:val="009F725D"/>
    <w:rsid w:val="00A006C9"/>
    <w:rsid w:val="00A00F10"/>
    <w:rsid w:val="00A01B5C"/>
    <w:rsid w:val="00A031A5"/>
    <w:rsid w:val="00A03554"/>
    <w:rsid w:val="00A047B6"/>
    <w:rsid w:val="00A06114"/>
    <w:rsid w:val="00A06695"/>
    <w:rsid w:val="00A07080"/>
    <w:rsid w:val="00A1047C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47BEC"/>
    <w:rsid w:val="00A53F6D"/>
    <w:rsid w:val="00A54C5E"/>
    <w:rsid w:val="00A62BC9"/>
    <w:rsid w:val="00A65CE0"/>
    <w:rsid w:val="00A70B0B"/>
    <w:rsid w:val="00A726E7"/>
    <w:rsid w:val="00A75D68"/>
    <w:rsid w:val="00A76205"/>
    <w:rsid w:val="00A845F7"/>
    <w:rsid w:val="00A9066E"/>
    <w:rsid w:val="00A90A7D"/>
    <w:rsid w:val="00A90D76"/>
    <w:rsid w:val="00A92439"/>
    <w:rsid w:val="00A93774"/>
    <w:rsid w:val="00A97201"/>
    <w:rsid w:val="00AB0C56"/>
    <w:rsid w:val="00AB1280"/>
    <w:rsid w:val="00AC50A0"/>
    <w:rsid w:val="00AC550D"/>
    <w:rsid w:val="00AC6085"/>
    <w:rsid w:val="00AC7BB0"/>
    <w:rsid w:val="00AD04FC"/>
    <w:rsid w:val="00AD25E2"/>
    <w:rsid w:val="00AD3F38"/>
    <w:rsid w:val="00AD4D07"/>
    <w:rsid w:val="00AE18EB"/>
    <w:rsid w:val="00AE22AB"/>
    <w:rsid w:val="00AE2D2E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B0267E"/>
    <w:rsid w:val="00B02C49"/>
    <w:rsid w:val="00B02E40"/>
    <w:rsid w:val="00B1129F"/>
    <w:rsid w:val="00B167A9"/>
    <w:rsid w:val="00B2115E"/>
    <w:rsid w:val="00B21972"/>
    <w:rsid w:val="00B22501"/>
    <w:rsid w:val="00B26934"/>
    <w:rsid w:val="00B26E1A"/>
    <w:rsid w:val="00B30785"/>
    <w:rsid w:val="00B30958"/>
    <w:rsid w:val="00B3216E"/>
    <w:rsid w:val="00B34EC6"/>
    <w:rsid w:val="00B36245"/>
    <w:rsid w:val="00B36DEC"/>
    <w:rsid w:val="00B44FD2"/>
    <w:rsid w:val="00B45C66"/>
    <w:rsid w:val="00B46067"/>
    <w:rsid w:val="00B4712F"/>
    <w:rsid w:val="00B51AB8"/>
    <w:rsid w:val="00B52658"/>
    <w:rsid w:val="00B55542"/>
    <w:rsid w:val="00B56BDA"/>
    <w:rsid w:val="00B60F82"/>
    <w:rsid w:val="00B617E5"/>
    <w:rsid w:val="00B61BF4"/>
    <w:rsid w:val="00B639F6"/>
    <w:rsid w:val="00B66826"/>
    <w:rsid w:val="00B76656"/>
    <w:rsid w:val="00B7722E"/>
    <w:rsid w:val="00B819A6"/>
    <w:rsid w:val="00B83C79"/>
    <w:rsid w:val="00B84353"/>
    <w:rsid w:val="00B84F1B"/>
    <w:rsid w:val="00B851B7"/>
    <w:rsid w:val="00B90251"/>
    <w:rsid w:val="00B92F40"/>
    <w:rsid w:val="00B94512"/>
    <w:rsid w:val="00B95810"/>
    <w:rsid w:val="00BA02D5"/>
    <w:rsid w:val="00BA08B6"/>
    <w:rsid w:val="00BA1680"/>
    <w:rsid w:val="00BA1BA7"/>
    <w:rsid w:val="00BA1CA4"/>
    <w:rsid w:val="00BA2253"/>
    <w:rsid w:val="00BA3440"/>
    <w:rsid w:val="00BA4623"/>
    <w:rsid w:val="00BA5075"/>
    <w:rsid w:val="00BA718A"/>
    <w:rsid w:val="00BA7B68"/>
    <w:rsid w:val="00BB2A57"/>
    <w:rsid w:val="00BB3EED"/>
    <w:rsid w:val="00BB7452"/>
    <w:rsid w:val="00BB7582"/>
    <w:rsid w:val="00BC0248"/>
    <w:rsid w:val="00BC3EF2"/>
    <w:rsid w:val="00BC5F2A"/>
    <w:rsid w:val="00BC633F"/>
    <w:rsid w:val="00BC64A3"/>
    <w:rsid w:val="00BC6AE5"/>
    <w:rsid w:val="00BD00EE"/>
    <w:rsid w:val="00BD2B8D"/>
    <w:rsid w:val="00BD47BA"/>
    <w:rsid w:val="00BE069D"/>
    <w:rsid w:val="00BE16CF"/>
    <w:rsid w:val="00BE1E30"/>
    <w:rsid w:val="00BE3EAB"/>
    <w:rsid w:val="00BE58D9"/>
    <w:rsid w:val="00BF05E2"/>
    <w:rsid w:val="00BF12A2"/>
    <w:rsid w:val="00BF2A12"/>
    <w:rsid w:val="00BF450F"/>
    <w:rsid w:val="00BF6997"/>
    <w:rsid w:val="00BF727D"/>
    <w:rsid w:val="00C0104F"/>
    <w:rsid w:val="00C01847"/>
    <w:rsid w:val="00C039AB"/>
    <w:rsid w:val="00C06E4F"/>
    <w:rsid w:val="00C07DCD"/>
    <w:rsid w:val="00C100DD"/>
    <w:rsid w:val="00C14D9E"/>
    <w:rsid w:val="00C16912"/>
    <w:rsid w:val="00C1753E"/>
    <w:rsid w:val="00C2089E"/>
    <w:rsid w:val="00C2096B"/>
    <w:rsid w:val="00C2467D"/>
    <w:rsid w:val="00C310D5"/>
    <w:rsid w:val="00C31E8D"/>
    <w:rsid w:val="00C3416E"/>
    <w:rsid w:val="00C348FD"/>
    <w:rsid w:val="00C36968"/>
    <w:rsid w:val="00C4085F"/>
    <w:rsid w:val="00C4139C"/>
    <w:rsid w:val="00C41ABD"/>
    <w:rsid w:val="00C4331D"/>
    <w:rsid w:val="00C43DE8"/>
    <w:rsid w:val="00C45CA5"/>
    <w:rsid w:val="00C46AD2"/>
    <w:rsid w:val="00C47B35"/>
    <w:rsid w:val="00C47FAF"/>
    <w:rsid w:val="00C515BA"/>
    <w:rsid w:val="00C520F7"/>
    <w:rsid w:val="00C539DD"/>
    <w:rsid w:val="00C54432"/>
    <w:rsid w:val="00C578FE"/>
    <w:rsid w:val="00C640F2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71F"/>
    <w:rsid w:val="00C949CE"/>
    <w:rsid w:val="00C94A45"/>
    <w:rsid w:val="00C95C16"/>
    <w:rsid w:val="00C96CA2"/>
    <w:rsid w:val="00C96D65"/>
    <w:rsid w:val="00CA646D"/>
    <w:rsid w:val="00CA7C1F"/>
    <w:rsid w:val="00CB3485"/>
    <w:rsid w:val="00CB7715"/>
    <w:rsid w:val="00CC139A"/>
    <w:rsid w:val="00CC689A"/>
    <w:rsid w:val="00CD0A47"/>
    <w:rsid w:val="00CD0C9A"/>
    <w:rsid w:val="00CD34A6"/>
    <w:rsid w:val="00CD3D92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D46"/>
    <w:rsid w:val="00D01E15"/>
    <w:rsid w:val="00D03184"/>
    <w:rsid w:val="00D03514"/>
    <w:rsid w:val="00D1021E"/>
    <w:rsid w:val="00D106B1"/>
    <w:rsid w:val="00D106F5"/>
    <w:rsid w:val="00D10873"/>
    <w:rsid w:val="00D12179"/>
    <w:rsid w:val="00D12ADE"/>
    <w:rsid w:val="00D13830"/>
    <w:rsid w:val="00D13FD2"/>
    <w:rsid w:val="00D14B34"/>
    <w:rsid w:val="00D14EFA"/>
    <w:rsid w:val="00D201EE"/>
    <w:rsid w:val="00D2055F"/>
    <w:rsid w:val="00D24862"/>
    <w:rsid w:val="00D25342"/>
    <w:rsid w:val="00D26E7D"/>
    <w:rsid w:val="00D30224"/>
    <w:rsid w:val="00D32C75"/>
    <w:rsid w:val="00D33A7E"/>
    <w:rsid w:val="00D33C87"/>
    <w:rsid w:val="00D363B7"/>
    <w:rsid w:val="00D364CA"/>
    <w:rsid w:val="00D37A42"/>
    <w:rsid w:val="00D40867"/>
    <w:rsid w:val="00D40A3A"/>
    <w:rsid w:val="00D43C34"/>
    <w:rsid w:val="00D45E3C"/>
    <w:rsid w:val="00D5008C"/>
    <w:rsid w:val="00D52A17"/>
    <w:rsid w:val="00D52AB2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712"/>
    <w:rsid w:val="00D679AC"/>
    <w:rsid w:val="00D70497"/>
    <w:rsid w:val="00D73D0D"/>
    <w:rsid w:val="00D76EBF"/>
    <w:rsid w:val="00D8117E"/>
    <w:rsid w:val="00D830E2"/>
    <w:rsid w:val="00D83EED"/>
    <w:rsid w:val="00D87B74"/>
    <w:rsid w:val="00D919F3"/>
    <w:rsid w:val="00D94DC8"/>
    <w:rsid w:val="00DA0132"/>
    <w:rsid w:val="00DA218B"/>
    <w:rsid w:val="00DA66AD"/>
    <w:rsid w:val="00DA6724"/>
    <w:rsid w:val="00DA6BF5"/>
    <w:rsid w:val="00DB0A71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4DEC"/>
    <w:rsid w:val="00E15597"/>
    <w:rsid w:val="00E2240A"/>
    <w:rsid w:val="00E232E3"/>
    <w:rsid w:val="00E2566A"/>
    <w:rsid w:val="00E27531"/>
    <w:rsid w:val="00E2753F"/>
    <w:rsid w:val="00E32026"/>
    <w:rsid w:val="00E32FF4"/>
    <w:rsid w:val="00E34F61"/>
    <w:rsid w:val="00E367E3"/>
    <w:rsid w:val="00E36A41"/>
    <w:rsid w:val="00E41937"/>
    <w:rsid w:val="00E41B57"/>
    <w:rsid w:val="00E421CB"/>
    <w:rsid w:val="00E42BAB"/>
    <w:rsid w:val="00E43CF5"/>
    <w:rsid w:val="00E44A23"/>
    <w:rsid w:val="00E51424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5427"/>
    <w:rsid w:val="00E76D55"/>
    <w:rsid w:val="00E81A67"/>
    <w:rsid w:val="00E83191"/>
    <w:rsid w:val="00E840C6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2E8B"/>
    <w:rsid w:val="00EB41A4"/>
    <w:rsid w:val="00EB44F2"/>
    <w:rsid w:val="00EB4578"/>
    <w:rsid w:val="00EB5ABB"/>
    <w:rsid w:val="00EB6EA1"/>
    <w:rsid w:val="00EC0235"/>
    <w:rsid w:val="00EC13C4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2C4D"/>
    <w:rsid w:val="00EE3D55"/>
    <w:rsid w:val="00EE5BDC"/>
    <w:rsid w:val="00EE6346"/>
    <w:rsid w:val="00EE7BFB"/>
    <w:rsid w:val="00EF026F"/>
    <w:rsid w:val="00EF1684"/>
    <w:rsid w:val="00EF19BF"/>
    <w:rsid w:val="00EF3BE5"/>
    <w:rsid w:val="00EF6685"/>
    <w:rsid w:val="00EF7A4E"/>
    <w:rsid w:val="00F00567"/>
    <w:rsid w:val="00F01D7A"/>
    <w:rsid w:val="00F0391E"/>
    <w:rsid w:val="00F06135"/>
    <w:rsid w:val="00F06175"/>
    <w:rsid w:val="00F0716C"/>
    <w:rsid w:val="00F11A91"/>
    <w:rsid w:val="00F11D67"/>
    <w:rsid w:val="00F13788"/>
    <w:rsid w:val="00F13E5A"/>
    <w:rsid w:val="00F15C34"/>
    <w:rsid w:val="00F15DC9"/>
    <w:rsid w:val="00F16665"/>
    <w:rsid w:val="00F1770E"/>
    <w:rsid w:val="00F2488A"/>
    <w:rsid w:val="00F27124"/>
    <w:rsid w:val="00F346D0"/>
    <w:rsid w:val="00F359E6"/>
    <w:rsid w:val="00F3701A"/>
    <w:rsid w:val="00F40253"/>
    <w:rsid w:val="00F4067D"/>
    <w:rsid w:val="00F445B6"/>
    <w:rsid w:val="00F604E0"/>
    <w:rsid w:val="00F64B28"/>
    <w:rsid w:val="00F64ECA"/>
    <w:rsid w:val="00F6528F"/>
    <w:rsid w:val="00F66A0E"/>
    <w:rsid w:val="00F7056C"/>
    <w:rsid w:val="00F70CD2"/>
    <w:rsid w:val="00F73BFF"/>
    <w:rsid w:val="00F759DC"/>
    <w:rsid w:val="00F77701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17BB"/>
    <w:rsid w:val="00FA1C74"/>
    <w:rsid w:val="00FA2B95"/>
    <w:rsid w:val="00FA41D2"/>
    <w:rsid w:val="00FA441C"/>
    <w:rsid w:val="00FA4B2E"/>
    <w:rsid w:val="00FA6C7E"/>
    <w:rsid w:val="00FB0BA1"/>
    <w:rsid w:val="00FB102F"/>
    <w:rsid w:val="00FB2566"/>
    <w:rsid w:val="00FB5DA0"/>
    <w:rsid w:val="00FB6B24"/>
    <w:rsid w:val="00FB6B3E"/>
    <w:rsid w:val="00FC1143"/>
    <w:rsid w:val="00FC299E"/>
    <w:rsid w:val="00FC2A76"/>
    <w:rsid w:val="00FC2D0D"/>
    <w:rsid w:val="00FC46D6"/>
    <w:rsid w:val="00FC6920"/>
    <w:rsid w:val="00FC7627"/>
    <w:rsid w:val="00FD0240"/>
    <w:rsid w:val="00FD2EC4"/>
    <w:rsid w:val="00FD3056"/>
    <w:rsid w:val="00FD5673"/>
    <w:rsid w:val="00FE0552"/>
    <w:rsid w:val="00FE2442"/>
    <w:rsid w:val="00FE4C0E"/>
    <w:rsid w:val="00FE50DD"/>
    <w:rsid w:val="00FE7517"/>
    <w:rsid w:val="00FF0292"/>
    <w:rsid w:val="00FF05FA"/>
    <w:rsid w:val="00FF2E43"/>
    <w:rsid w:val="00FF4189"/>
    <w:rsid w:val="00FF41E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D001CAE"/>
  <w15:docId w15:val="{F8BE2BDD-69F7-4497-8F62-75CFEFB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opw.parp.gov.pl/wzor-na-konkuren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F205-0119-4E9E-A5C5-4E09456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6308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Banasiewicz Sebastian</cp:lastModifiedBy>
  <cp:revision>3</cp:revision>
  <cp:lastPrinted>2018-04-04T08:59:00Z</cp:lastPrinted>
  <dcterms:created xsi:type="dcterms:W3CDTF">2018-07-31T08:30:00Z</dcterms:created>
  <dcterms:modified xsi:type="dcterms:W3CDTF">2018-08-02T12:51:00Z</dcterms:modified>
</cp:coreProperties>
</file>