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5D" w:rsidRDefault="004B7B7B">
      <w:pPr>
        <w:pStyle w:val="Tekstpodstawowy"/>
        <w:spacing w:after="120" w:line="276" w:lineRule="auto"/>
        <w:jc w:val="left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noProof/>
        </w:rPr>
        <w:drawing>
          <wp:inline distT="0" distB="0" distL="0" distR="0">
            <wp:extent cx="5759450" cy="625475"/>
            <wp:effectExtent l="0" t="0" r="0" b="3175"/>
            <wp:docPr id="1073741825" name="officeArt object" descr="Pasek logotypów&#10;&#10;Pasek logotypów: Polska Wschodnia, Rzeczpospolita Polska, PARP, grupa PFR, Unia Europejska, Europejski Fundusz Rozwoju Regionalnego" title="Pasek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ek logotypówPasek logotypów: Polska Wschodnia, Rzeczpospolita Polska, PARP, grupa PFR, Unia Europejska, Europejski Fundusz Rozwoju Regionalnego" descr="Pasek logotypówPasek logotypów: Polska Wschodnia, Rzeczpospolita Polska, PARP, grupa PFR, Unia Europejska, Europejski Fundusz Rozwoju Regionalne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3735D" w:rsidRDefault="004B7B7B">
      <w:pPr>
        <w:pStyle w:val="Tekstpodstawowy"/>
        <w:spacing w:before="1560" w:after="120" w:line="276" w:lineRule="auto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Polska Agencja Rozwoju Przedsiębiorczości</w:t>
      </w:r>
    </w:p>
    <w:p w:rsidR="0013735D" w:rsidRDefault="004B7B7B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ul. Pańska 81/83</w:t>
      </w:r>
    </w:p>
    <w:p w:rsidR="0013735D" w:rsidRDefault="004B7B7B">
      <w:pPr>
        <w:spacing w:after="84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00-834 Warszawa</w:t>
      </w:r>
    </w:p>
    <w:p w:rsidR="0013735D" w:rsidRDefault="004B7B7B">
      <w:pPr>
        <w:spacing w:after="12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Regulamin konkursu</w:t>
      </w:r>
    </w:p>
    <w:p w:rsidR="0013735D" w:rsidRDefault="004B7B7B">
      <w:pPr>
        <w:spacing w:after="12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w ramach Programu Operacyjnego Polska Wschodnia 2014-2020</w:t>
      </w:r>
    </w:p>
    <w:p w:rsidR="0013735D" w:rsidRDefault="004B7B7B">
      <w:pPr>
        <w:spacing w:after="120" w:line="276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</w:rPr>
        <w:t>Oś priorytetowa I: Przedsiębiorcza Polska Wschodnia</w:t>
      </w:r>
    </w:p>
    <w:p w:rsidR="0013735D" w:rsidRDefault="004B7B7B">
      <w:pPr>
        <w:spacing w:after="48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Działanie 1.4 </w:t>
      </w:r>
      <w:proofErr w:type="spellStart"/>
      <w:r>
        <w:rPr>
          <w:rFonts w:ascii="Calibri" w:hAnsi="Calibri"/>
          <w:b/>
          <w:bCs/>
        </w:rPr>
        <w:t>Wz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 xml:space="preserve">r na konkurencję </w:t>
      </w:r>
      <w:r>
        <w:rPr>
          <w:rFonts w:ascii="Calibri" w:hAnsi="Calibri"/>
          <w:b/>
          <w:bCs/>
          <w:lang w:val="nl-NL"/>
        </w:rPr>
        <w:t>Etap II</w:t>
      </w:r>
    </w:p>
    <w:p w:rsidR="0013735D" w:rsidRDefault="004B7B7B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Kwota przeznaczona na dofinansowanie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:rsidR="0013735D" w:rsidRDefault="004B7B7B">
      <w:pPr>
        <w:spacing w:after="96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200 000 000,00 zł</w:t>
      </w:r>
    </w:p>
    <w:p w:rsidR="0013735D" w:rsidRDefault="004B7B7B">
      <w:pPr>
        <w:spacing w:after="24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Nr konkursu: 4</w:t>
      </w:r>
    </w:p>
    <w:p w:rsidR="0013735D" w:rsidRDefault="004B7B7B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Rok: 2019</w:t>
      </w:r>
    </w:p>
    <w:p w:rsidR="0013735D" w:rsidRDefault="00164894">
      <w:pPr>
        <w:spacing w:after="72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08/04/2020</w:t>
      </w:r>
    </w:p>
    <w:p w:rsidR="0013735D" w:rsidRDefault="004B7B7B">
      <w:pPr>
        <w:spacing w:after="200" w:line="276" w:lineRule="auto"/>
      </w:pPr>
      <w:r>
        <w:rPr>
          <w:rFonts w:ascii="Arial Unicode MS" w:hAnsi="Arial Unicode MS"/>
        </w:rPr>
        <w:br w:type="page"/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lastRenderedPageBreak/>
        <w:t>§ 1. Podstawy prawne</w:t>
      </w:r>
    </w:p>
    <w:p w:rsidR="0013735D" w:rsidRDefault="004B7B7B">
      <w:pPr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Niniejszy regulamin został przygotowany na podstawie:</w:t>
      </w:r>
    </w:p>
    <w:p w:rsidR="0013735D" w:rsidRDefault="004B7B7B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art. 41 ust. 1 ustawy z dnia 11 lipca 2014 r. o zasadach realizacji program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zakresie polityki sp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jności</w:t>
      </w:r>
      <w:proofErr w:type="spellEnd"/>
      <w:r>
        <w:rPr>
          <w:rFonts w:ascii="Calibri" w:hAnsi="Calibri"/>
        </w:rPr>
        <w:t xml:space="preserve"> finansowanych w perspektywie finansowej 2014-2020 (Dz. U. z 2018 r. poz. 1431,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 zwanej „</w:t>
      </w:r>
      <w:r>
        <w:rPr>
          <w:rFonts w:ascii="Calibri" w:hAnsi="Calibri"/>
          <w:b/>
          <w:bCs/>
        </w:rPr>
        <w:t>ustawą wdrożeniową</w:t>
      </w:r>
      <w:r>
        <w:rPr>
          <w:rFonts w:ascii="Calibri" w:hAnsi="Calibri"/>
        </w:rPr>
        <w:t>”;</w:t>
      </w:r>
    </w:p>
    <w:p w:rsidR="0013735D" w:rsidRDefault="004B7B7B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Wytycznych w zakresie tryb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na lata 2014-2020;</w:t>
      </w:r>
    </w:p>
    <w:p w:rsidR="0013735D" w:rsidRDefault="004B7B7B">
      <w:pPr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porozumienia z dnia 28 kwietnia 2015 r. w sprawie powierzenia realizacji Programu Operacyjnego Polska Wschodnia 2014-2020 w zakresie osi priorytetowych: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I Przedsiębiorcza Polska Wschodnia i II Nowoczesna Infrastruktura Transportowa zawartego pomiędzy Ministrem Infrastruktury i Rozwoju a Polską Agencją Rozwoju Przedsiębiorczości.</w:t>
      </w:r>
    </w:p>
    <w:p w:rsidR="0013735D" w:rsidRDefault="004B7B7B">
      <w:pPr>
        <w:numPr>
          <w:ilvl w:val="0"/>
          <w:numId w:val="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Działanie realizowane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jest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zgodnie z następującymi regulacjami krajowymi:</w:t>
      </w:r>
    </w:p>
    <w:p w:rsidR="0013735D" w:rsidRDefault="004B7B7B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Programem Operacyjnym Polska Wschodnia 2014-2020, zatwierdzonym decyzją Komisji Europejskiej z dnia 16 grudnia 2014 r., zwanym „</w:t>
      </w:r>
      <w:r>
        <w:rPr>
          <w:rFonts w:ascii="Calibri" w:hAnsi="Calibri"/>
          <w:b/>
          <w:bCs/>
        </w:rPr>
        <w:t>POPW</w:t>
      </w:r>
      <w:r>
        <w:rPr>
          <w:rFonts w:ascii="Calibri" w:hAnsi="Calibri"/>
        </w:rPr>
        <w:t>”;</w:t>
      </w:r>
    </w:p>
    <w:p w:rsidR="0013735D" w:rsidRDefault="004B7B7B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Szczegółowym Opisem Osi Priorytetowych Programu Operacyjnego Polska Wschodnia 2014-2020, zwanym „</w:t>
      </w:r>
      <w:r>
        <w:rPr>
          <w:rFonts w:ascii="Calibri" w:hAnsi="Calibri"/>
          <w:b/>
          <w:bCs/>
        </w:rPr>
        <w:t>SZOOP</w:t>
      </w:r>
      <w:r>
        <w:rPr>
          <w:rFonts w:ascii="Calibri" w:hAnsi="Calibri"/>
        </w:rPr>
        <w:t>”;</w:t>
      </w:r>
    </w:p>
    <w:p w:rsidR="0013735D" w:rsidRDefault="004B7B7B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Umową Partnerstwa przyjętą przez Radę </w:t>
      </w:r>
      <w:proofErr w:type="spellStart"/>
      <w:r>
        <w:rPr>
          <w:rFonts w:ascii="Calibri" w:hAnsi="Calibri"/>
        </w:rPr>
        <w:t>Ministr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dniu 5 lipca 2017 r., zatwierdzoną przez Komisję Europejską w dniu 23 października 2017 r.;</w:t>
      </w:r>
    </w:p>
    <w:p w:rsidR="0013735D" w:rsidRDefault="004B7B7B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9 listopada 2000 r. o utworzeniu Polskiej Agencji Rozwoju Przedsiębiorczości (Dz. U. z 20</w:t>
      </w:r>
      <w:r w:rsidR="00B32633">
        <w:rPr>
          <w:rFonts w:ascii="Calibri" w:hAnsi="Calibri"/>
        </w:rPr>
        <w:t>20</w:t>
      </w:r>
      <w:r>
        <w:rPr>
          <w:rFonts w:ascii="Calibri" w:hAnsi="Calibri"/>
        </w:rPr>
        <w:t xml:space="preserve"> r. poz. </w:t>
      </w:r>
      <w:r w:rsidR="00B32633">
        <w:rPr>
          <w:rFonts w:ascii="Calibri" w:hAnsi="Calibri"/>
        </w:rPr>
        <w:t>299</w:t>
      </w:r>
      <w:r>
        <w:rPr>
          <w:rFonts w:ascii="Calibri" w:hAnsi="Calibri"/>
        </w:rPr>
        <w:t>), zwaną „</w:t>
      </w:r>
      <w:r>
        <w:rPr>
          <w:rFonts w:ascii="Calibri" w:hAnsi="Calibri"/>
          <w:b/>
          <w:bCs/>
        </w:rPr>
        <w:t xml:space="preserve">ustawą </w:t>
      </w:r>
      <w:r>
        <w:rPr>
          <w:rFonts w:ascii="Calibri" w:hAnsi="Calibri"/>
          <w:b/>
          <w:bCs/>
          <w:lang w:val="pt-PT"/>
        </w:rPr>
        <w:t>o PARP</w:t>
      </w:r>
      <w:r>
        <w:rPr>
          <w:rFonts w:ascii="Calibri" w:hAnsi="Calibri"/>
        </w:rPr>
        <w:t>”;</w:t>
      </w:r>
    </w:p>
    <w:p w:rsidR="0013735D" w:rsidRDefault="004B7B7B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27 sierpnia 2009 r. o finansach publicznych (Dz. U. z 201</w:t>
      </w:r>
      <w:r w:rsidR="00B32633">
        <w:rPr>
          <w:rFonts w:ascii="Calibri" w:hAnsi="Calibri"/>
        </w:rPr>
        <w:t>9</w:t>
      </w:r>
      <w:r>
        <w:rPr>
          <w:rFonts w:ascii="Calibri" w:hAnsi="Calibri"/>
        </w:rPr>
        <w:t xml:space="preserve"> r. poz. </w:t>
      </w:r>
      <w:r w:rsidR="00B32633">
        <w:rPr>
          <w:rFonts w:ascii="Calibri" w:hAnsi="Calibri"/>
        </w:rPr>
        <w:t>869</w:t>
      </w:r>
      <w:r>
        <w:rPr>
          <w:rFonts w:ascii="Calibri" w:hAnsi="Calibri"/>
        </w:rPr>
        <w:t xml:space="preserve">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zm.);</w:t>
      </w:r>
    </w:p>
    <w:p w:rsidR="0013735D" w:rsidRDefault="004B7B7B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30 kwietnia 2004 r. o postępowaniu w sprawach dotyczących pomocy publicznej (Dz. U. z 2018 r. poz. 362</w:t>
      </w:r>
      <w:r w:rsidR="00B32633">
        <w:rPr>
          <w:rFonts w:ascii="Calibri" w:hAnsi="Calibri"/>
        </w:rPr>
        <w:t xml:space="preserve">, z </w:t>
      </w:r>
      <w:proofErr w:type="spellStart"/>
      <w:r w:rsidR="00B32633">
        <w:rPr>
          <w:rFonts w:ascii="Calibri" w:hAnsi="Calibri"/>
        </w:rPr>
        <w:t>późn</w:t>
      </w:r>
      <w:proofErr w:type="spellEnd"/>
      <w:r w:rsidR="00B32633">
        <w:rPr>
          <w:rFonts w:ascii="Calibri" w:hAnsi="Calibri"/>
        </w:rPr>
        <w:t>. zm.</w:t>
      </w:r>
      <w:r>
        <w:rPr>
          <w:rFonts w:ascii="Calibri" w:hAnsi="Calibri"/>
        </w:rPr>
        <w:t>);</w:t>
      </w:r>
    </w:p>
    <w:p w:rsidR="0013735D" w:rsidRDefault="004B7B7B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17 lutego 2005 r. o informatyzacji</w:t>
      </w:r>
      <w:bookmarkStart w:id="0" w:name="highlightHit_0"/>
      <w:bookmarkEnd w:id="0"/>
      <w:r>
        <w:rPr>
          <w:rFonts w:ascii="Calibri" w:hAnsi="Calibri"/>
        </w:rPr>
        <w:t xml:space="preserve"> działalności podmiot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realizujących zadania publiczne (Dz. U. z 20</w:t>
      </w:r>
      <w:r w:rsidR="00B32633">
        <w:rPr>
          <w:rFonts w:ascii="Calibri" w:hAnsi="Calibri"/>
        </w:rPr>
        <w:t>20</w:t>
      </w:r>
      <w:r>
        <w:rPr>
          <w:rFonts w:ascii="Calibri" w:hAnsi="Calibri"/>
        </w:rPr>
        <w:t xml:space="preserve"> r. poz. </w:t>
      </w:r>
      <w:r w:rsidR="00B32633">
        <w:rPr>
          <w:rFonts w:ascii="Calibri" w:hAnsi="Calibri"/>
        </w:rPr>
        <w:t>346</w:t>
      </w:r>
      <w:r>
        <w:rPr>
          <w:rFonts w:ascii="Calibri" w:hAnsi="Calibri"/>
        </w:rPr>
        <w:t xml:space="preserve">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zm.);</w:t>
      </w:r>
    </w:p>
    <w:p w:rsidR="0013735D" w:rsidRDefault="004B7B7B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Ministra Infrastruktury i Rozwoju z dnia 13 lipca 2015 r. w sprawie udzielania przez Polską Agencję Rozwoju Przedsiębiorczości pomocy finansowej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ramach osi I Przedsiębiorcza Polska Wschodnia Programu Operacyjnego Polska Wschodnia 2014-2020 (Dz. U. z 20</w:t>
      </w:r>
      <w:r w:rsidR="00B32633">
        <w:rPr>
          <w:rFonts w:ascii="Calibri" w:hAnsi="Calibri"/>
        </w:rPr>
        <w:t>20</w:t>
      </w:r>
      <w:r>
        <w:rPr>
          <w:rFonts w:ascii="Calibri" w:hAnsi="Calibri"/>
        </w:rPr>
        <w:t xml:space="preserve"> r. poz. </w:t>
      </w:r>
      <w:r w:rsidR="00B32633">
        <w:rPr>
          <w:rFonts w:ascii="Calibri" w:hAnsi="Calibri"/>
        </w:rPr>
        <w:t>126</w:t>
      </w:r>
      <w:r>
        <w:rPr>
          <w:rFonts w:ascii="Calibri" w:hAnsi="Calibri"/>
        </w:rPr>
        <w:t xml:space="preserve">), zwanym </w:t>
      </w:r>
      <w:r>
        <w:rPr>
          <w:rFonts w:ascii="Calibri" w:hAnsi="Calibri"/>
          <w:b/>
          <w:bCs/>
        </w:rPr>
        <w:t>„rozporządzeniem”</w:t>
      </w:r>
      <w:r>
        <w:rPr>
          <w:rFonts w:ascii="Calibri" w:hAnsi="Calibri"/>
        </w:rPr>
        <w:t>;</w:t>
      </w:r>
    </w:p>
    <w:p w:rsidR="0013735D" w:rsidRDefault="004B7B7B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wytycznymi w zakresie kwalifikowalności </w:t>
      </w:r>
      <w:proofErr w:type="spellStart"/>
      <w:r>
        <w:rPr>
          <w:rFonts w:ascii="Calibri" w:hAnsi="Calibri"/>
        </w:rPr>
        <w:t>wydatk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ramach Europejskiego Funduszu Rozwoju Regionalnego, Europejskiego Funduszu Społecznego oraz Funduszu Sp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jności</w:t>
      </w:r>
      <w:proofErr w:type="spellEnd"/>
      <w:r>
        <w:rPr>
          <w:rFonts w:ascii="Calibri" w:hAnsi="Calibri"/>
        </w:rPr>
        <w:t xml:space="preserve"> na lata 2014-2020 zwanymi </w:t>
      </w:r>
      <w:r>
        <w:rPr>
          <w:rFonts w:ascii="Calibri" w:hAnsi="Calibri"/>
          <w:b/>
          <w:bCs/>
        </w:rPr>
        <w:t>„wytycznymi w zakresie kwalifikowalności”</w:t>
      </w:r>
      <w:r>
        <w:rPr>
          <w:rFonts w:ascii="Calibri" w:hAnsi="Calibri"/>
        </w:rPr>
        <w:t>.</w:t>
      </w:r>
    </w:p>
    <w:p w:rsidR="0013735D" w:rsidRDefault="004B7B7B">
      <w:pPr>
        <w:numPr>
          <w:ilvl w:val="0"/>
          <w:numId w:val="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Działanie realizowane jest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zgodnie z następującymi regulacjami unijnymi:</w:t>
      </w:r>
    </w:p>
    <w:p w:rsidR="0013735D" w:rsidRDefault="004B7B7B">
      <w:pPr>
        <w:pStyle w:val="Akapitzlist"/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rozporządzeniem Parlamentu Europejskiego i Rady (UE) nr 1303/2013 z dnia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17 grudnia 2013 r. ustanawiającym </w:t>
      </w:r>
      <w:proofErr w:type="spellStart"/>
      <w:r>
        <w:rPr>
          <w:rFonts w:ascii="Calibri" w:hAnsi="Calibri"/>
        </w:rPr>
        <w:t>wsp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lne</w:t>
      </w:r>
      <w:proofErr w:type="spellEnd"/>
      <w:r>
        <w:rPr>
          <w:rFonts w:ascii="Calibri" w:hAnsi="Calibri"/>
        </w:rPr>
        <w:t xml:space="preserve"> przepisy dotyczące Europejskiego Funduszu Rozwoju Regionalnego, Europejskiego Funduszu Społecznego, Funduszu Sp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jności</w:t>
      </w:r>
      <w:proofErr w:type="spellEnd"/>
      <w:r>
        <w:rPr>
          <w:rFonts w:ascii="Calibri" w:hAnsi="Calibri"/>
        </w:rPr>
        <w:t>, Europejskiego Funduszu Rolnego na rzecz Rozwoju Obszar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Wiejskich oraz Europejskiego Funduszu Morskiego i Rybackiego oraz ustanawiającym przepisy </w:t>
      </w:r>
      <w:proofErr w:type="spellStart"/>
      <w:r>
        <w:rPr>
          <w:rFonts w:ascii="Calibri" w:hAnsi="Calibri"/>
        </w:rPr>
        <w:t>og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lne</w:t>
      </w:r>
      <w:proofErr w:type="spellEnd"/>
      <w:r>
        <w:rPr>
          <w:rFonts w:ascii="Calibri" w:hAnsi="Calibri"/>
        </w:rPr>
        <w:t xml:space="preserve"> dotyczące Europejskiego Funduszu Rozwoju Regionalnego, Europejskiego Funduszu Społecznego, Funduszu Sp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jności</w:t>
      </w:r>
      <w:proofErr w:type="spellEnd"/>
      <w:r>
        <w:rPr>
          <w:rFonts w:ascii="Calibri" w:hAnsi="Calibri"/>
        </w:rPr>
        <w:t xml:space="preserve"> i Europejskiego Funduszu Morskiego i Rybackiego oraz uchylającym rozporządzenie Rady (WE) nr 1083/2006 (Dz. Urz. UE L 347 z 20.12.2013 r., str. 320,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zm.), zwanym </w:t>
      </w:r>
      <w:r>
        <w:rPr>
          <w:rFonts w:ascii="Calibri" w:hAnsi="Calibri"/>
          <w:b/>
          <w:bCs/>
        </w:rPr>
        <w:t>„rozporządzeniem nr 1303/2013”</w:t>
      </w:r>
      <w:r>
        <w:rPr>
          <w:rFonts w:ascii="Calibri" w:hAnsi="Calibri"/>
        </w:rPr>
        <w:t>;</w:t>
      </w:r>
    </w:p>
    <w:p w:rsidR="0013735D" w:rsidRDefault="004B7B7B">
      <w:pPr>
        <w:pStyle w:val="Akapitzlist"/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Parlamentu Europejskiego i Rady (UE) Nr 1301/2013 z dnia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17 grudnia 2013 r. w sprawie Europejskiego Funduszu Rozwoju Regionalnego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i przepis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lnych</w:t>
      </w:r>
      <w:proofErr w:type="spellEnd"/>
      <w:r>
        <w:rPr>
          <w:rFonts w:ascii="Calibri" w:hAnsi="Calibri"/>
        </w:rPr>
        <w:t xml:space="preserve"> dotyczących celu „Inwestycje na rzecz wzrostu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i zatrudnienia” oraz w sprawie uchylenia rozporządzenia (WE) nr 1080/2006 (Dz. Urz. UE L 347 z 20.12.2013 r., str. 289), zwanym „</w:t>
      </w:r>
      <w:r>
        <w:rPr>
          <w:rFonts w:ascii="Calibri" w:hAnsi="Calibri"/>
          <w:b/>
          <w:bCs/>
        </w:rPr>
        <w:t>rozporządzeniem nr 1301/2013”</w:t>
      </w:r>
      <w:r>
        <w:rPr>
          <w:rFonts w:ascii="Calibri" w:hAnsi="Calibri"/>
        </w:rPr>
        <w:t>;</w:t>
      </w:r>
    </w:p>
    <w:p w:rsidR="0013735D" w:rsidRDefault="004B7B7B">
      <w:pPr>
        <w:pStyle w:val="Akapitzlist"/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Komisji (UE) nr 651/2014 z dnia 17 czerwca 2014 r. uznającym </w:t>
      </w:r>
      <w:proofErr w:type="spellStart"/>
      <w:r>
        <w:rPr>
          <w:rFonts w:ascii="Calibri" w:hAnsi="Calibri"/>
        </w:rPr>
        <w:t>niekt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 rodzaje pomocy za zgodne z rynkiem wewnętrznym w zastosowaniu art. 107 i 108 Traktatu (Dz. Urz. UE L 187 z 26.06. 2014 r., str. 1,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 zwanym „</w:t>
      </w:r>
      <w:r>
        <w:rPr>
          <w:rFonts w:ascii="Calibri" w:hAnsi="Calibri"/>
          <w:b/>
          <w:bCs/>
        </w:rPr>
        <w:t>rozporządzeniem KE nr 651/2014</w:t>
      </w:r>
      <w:r>
        <w:rPr>
          <w:rFonts w:ascii="Calibri" w:hAnsi="Calibri"/>
        </w:rPr>
        <w:t>”;</w:t>
      </w:r>
    </w:p>
    <w:p w:rsidR="0013735D" w:rsidRDefault="004B7B7B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Komisji (UE) nr 1407/2013 z dnia 18 grudnia 2013 r. w sprawie stosowania art. 107 i 108 Traktatu o funkcjonowaniu Unii Europejskiej do </w:t>
      </w:r>
      <w:r>
        <w:rPr>
          <w:rFonts w:ascii="Calibri" w:hAnsi="Calibri"/>
          <w:i/>
          <w:iCs/>
        </w:rPr>
        <w:t xml:space="preserve">pomocy de </w:t>
      </w:r>
      <w:proofErr w:type="spellStart"/>
      <w:r>
        <w:rPr>
          <w:rFonts w:ascii="Calibri" w:hAnsi="Calibri"/>
          <w:i/>
          <w:iCs/>
        </w:rPr>
        <w:t>minimis</w:t>
      </w:r>
      <w:proofErr w:type="spell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(Dz. Urz. UE L 352 z 24.12.2013 r., str. 1), zwanym „</w:t>
      </w:r>
      <w:r>
        <w:rPr>
          <w:rFonts w:ascii="Calibri" w:hAnsi="Calibri"/>
          <w:b/>
          <w:bCs/>
        </w:rPr>
        <w:t>rozporządzeniem KE nr 1407/2013</w:t>
      </w:r>
      <w:r>
        <w:rPr>
          <w:rFonts w:ascii="Calibri" w:hAnsi="Calibri"/>
        </w:rPr>
        <w:t>”;</w:t>
      </w:r>
    </w:p>
    <w:p w:rsidR="0013735D" w:rsidRDefault="004B7B7B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delegowanym Komisji (UE) nr 480/2014 z dnia 3 marca 2014 r. uzupełniającym rozporządzenie Parlamentu Europejskiego i Rady (UE) nr 1303/2013 ustanawiające </w:t>
      </w:r>
      <w:proofErr w:type="spellStart"/>
      <w:r>
        <w:rPr>
          <w:rFonts w:ascii="Calibri" w:hAnsi="Calibri"/>
        </w:rPr>
        <w:t>wsp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lne</w:t>
      </w:r>
      <w:proofErr w:type="spellEnd"/>
      <w:r>
        <w:rPr>
          <w:rFonts w:ascii="Calibri" w:hAnsi="Calibri"/>
        </w:rPr>
        <w:t xml:space="preserve"> przepisy dotyczące Europejskiego Funduszu Rozwoju Regionalnego, Europejskiego Funduszu Społecznego, Funduszu Sp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jności</w:t>
      </w:r>
      <w:proofErr w:type="spellEnd"/>
      <w:r>
        <w:rPr>
          <w:rFonts w:ascii="Calibri" w:hAnsi="Calibri"/>
        </w:rPr>
        <w:t>, Europejskiego Funduszu Rolnego na rzecz Rozwoju Obszar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Wiejskich oraz Europejskiego Funduszu Morskiego i Rybackiego oraz ustanawiające przepisy </w:t>
      </w:r>
      <w:proofErr w:type="spellStart"/>
      <w:r>
        <w:rPr>
          <w:rFonts w:ascii="Calibri" w:hAnsi="Calibri"/>
        </w:rPr>
        <w:t>og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lne</w:t>
      </w:r>
      <w:proofErr w:type="spellEnd"/>
      <w:r>
        <w:rPr>
          <w:rFonts w:ascii="Calibri" w:hAnsi="Calibri"/>
        </w:rPr>
        <w:t xml:space="preserve"> dotyczące Europejskiego Funduszu Rozwoju Regionalnego, Europejskiego Funduszu Społecznego, Funduszu Sp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jności</w:t>
      </w:r>
      <w:proofErr w:type="spellEnd"/>
      <w:r>
        <w:rPr>
          <w:rFonts w:ascii="Calibri" w:hAnsi="Calibri"/>
        </w:rPr>
        <w:t xml:space="preserve"> i Europejskiego Funduszu Morskiego i Rybackiego (Dz. Urz. UE L 138 z 13.05.2014 r., str. 5,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zm.).</w:t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hAnsi="Calibri"/>
          <w:color w:val="000000"/>
          <w:sz w:val="24"/>
          <w:szCs w:val="24"/>
          <w:u w:color="000000"/>
        </w:rPr>
        <w:t xml:space="preserve">§ 2. Określenia i </w:t>
      </w:r>
      <w:proofErr w:type="spellStart"/>
      <w:r>
        <w:rPr>
          <w:rFonts w:ascii="Calibri" w:hAnsi="Calibri"/>
          <w:color w:val="000000"/>
          <w:sz w:val="24"/>
          <w:szCs w:val="24"/>
          <w:u w:color="000000"/>
        </w:rPr>
        <w:t>skr</w:t>
      </w:r>
      <w:proofErr w:type="spellEnd"/>
      <w:r>
        <w:rPr>
          <w:rFonts w:ascii="Calibri" w:hAnsi="Calibri"/>
          <w:color w:val="000000"/>
          <w:sz w:val="24"/>
          <w:szCs w:val="24"/>
          <w:u w:color="000000"/>
          <w:lang w:val="es-ES_tradnl"/>
        </w:rPr>
        <w:t>ó</w:t>
      </w:r>
      <w:r>
        <w:rPr>
          <w:rFonts w:ascii="Calibri" w:hAnsi="Calibri"/>
          <w:color w:val="000000"/>
          <w:sz w:val="24"/>
          <w:szCs w:val="24"/>
          <w:u w:color="000000"/>
          <w:lang w:val="en-US"/>
        </w:rPr>
        <w:t>ty</w:t>
      </w:r>
    </w:p>
    <w:p w:rsidR="0013735D" w:rsidRDefault="004B7B7B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Użyte w regulaminie określenia i </w:t>
      </w:r>
      <w:proofErr w:type="spellStart"/>
      <w:r>
        <w:rPr>
          <w:rFonts w:ascii="Calibri" w:hAnsi="Calibri"/>
        </w:rPr>
        <w:t>skr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ty oznaczają:</w:t>
      </w:r>
    </w:p>
    <w:p w:rsidR="0013735D" w:rsidRDefault="004B7B7B">
      <w:pPr>
        <w:pStyle w:val="Akapitzlist"/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audyt wzorniczy</w:t>
      </w:r>
      <w:r>
        <w:rPr>
          <w:rFonts w:ascii="Calibri" w:hAnsi="Calibri"/>
        </w:rPr>
        <w:t xml:space="preserve"> – audyt przeprowadzony w ramach Etapu I działania, rozumiany jako analiza działalności przedsiębiorcy pod względem potencjału i potrzeb wzorniczych,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wynikiem jest strategia wzornicza. Audyt obejmuje m.in.: analizę wzorniczą beneficjenta w zakresie oferty produktowej, modelu biznesowego, technologii, struktury organizacyjnej, proces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komunikacji, strategii marketingowej, zdefiniowania i charakterystyki klient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 konkurencji oraz kluczowych w kontekście beneficjenta trend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branżowych, analizę potrzeb beneficjenta w zakresie zarządzania wzornictwem, analizę oferty pod kątem wykorzystania wzornictwa i potencjału rynkowego beneficjenta;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beneficjent –</w:t>
      </w:r>
      <w:r>
        <w:rPr>
          <w:rFonts w:ascii="Calibri" w:hAnsi="Calibri"/>
        </w:rPr>
        <w:t xml:space="preserve"> podmiot,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art. 2 pkt 1 ustawy wdrożeniowej;</w:t>
      </w:r>
    </w:p>
    <w:p w:rsidR="0013735D" w:rsidRDefault="004B7B7B">
      <w:pPr>
        <w:numPr>
          <w:ilvl w:val="0"/>
          <w:numId w:val="12"/>
        </w:numPr>
        <w:spacing w:after="120" w:line="276" w:lineRule="auto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data otrzymania informacji o zatwierdzeniu strategii wzorniczej</w:t>
      </w:r>
      <w:r>
        <w:rPr>
          <w:rFonts w:ascii="Calibri" w:hAnsi="Calibri"/>
        </w:rPr>
        <w:t xml:space="preserve"> – dzień otrzymania przez beneficjenta informacji o zatwierdzeniu wniosku o płatność złożonego w ramach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I Etapu działania 1.4 POPW;</w:t>
      </w:r>
    </w:p>
    <w:p w:rsidR="0013735D" w:rsidRDefault="004B7B7B">
      <w:pPr>
        <w:numPr>
          <w:ilvl w:val="0"/>
          <w:numId w:val="12"/>
        </w:numPr>
        <w:spacing w:after="120" w:line="276" w:lineRule="auto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 xml:space="preserve">dni – </w:t>
      </w:r>
      <w:r>
        <w:rPr>
          <w:rFonts w:ascii="Calibri" w:hAnsi="Calibri"/>
        </w:rPr>
        <w:t>dni kalendarzowe;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dni robocze –</w:t>
      </w:r>
      <w:r>
        <w:rPr>
          <w:rFonts w:ascii="Calibri" w:hAnsi="Calibri"/>
        </w:rPr>
        <w:t xml:space="preserve"> dni z wyłączeniem </w:t>
      </w:r>
      <w:proofErr w:type="spellStart"/>
      <w:r>
        <w:rPr>
          <w:rFonts w:ascii="Calibri" w:hAnsi="Calibri"/>
        </w:rPr>
        <w:t>sob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t i dni ustawowo wolnych od pracy;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działanie </w:t>
      </w:r>
      <w:r>
        <w:rPr>
          <w:rFonts w:ascii="Calibri" w:hAnsi="Calibri"/>
        </w:rPr>
        <w:t xml:space="preserve">– działanie 1.4 </w:t>
      </w:r>
      <w:proofErr w:type="spellStart"/>
      <w:r>
        <w:rPr>
          <w:rFonts w:ascii="Calibri" w:hAnsi="Calibri"/>
        </w:rPr>
        <w:t>Wz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na konkurencję realizowane w ramach I osi priorytetowej Przedsiębiorcza Polska Wschodnia Programu Operacyjnego Polska Wschodnia 2014-2020;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ekspert – </w:t>
      </w:r>
      <w:r>
        <w:rPr>
          <w:rFonts w:ascii="Calibri" w:hAnsi="Calibri"/>
        </w:rPr>
        <w:t xml:space="preserve">osobę,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Rozdziale 15a ustawy wdrożeniowej;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Generator </w:t>
      </w:r>
      <w:proofErr w:type="spellStart"/>
      <w:r>
        <w:rPr>
          <w:rFonts w:ascii="Calibri" w:hAnsi="Calibri"/>
          <w:b/>
          <w:bCs/>
        </w:rPr>
        <w:t>Wniosk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(GW)–</w:t>
      </w:r>
      <w:r>
        <w:rPr>
          <w:rFonts w:ascii="Calibri" w:hAnsi="Calibri"/>
        </w:rPr>
        <w:t xml:space="preserve"> narzędzie informatyczne udostępnione za pośrednictwem strony internetowej PARP umożliwiające wnioskodawcy utworzenie indywidualnego konta w systemie informatycznym PARP oraz złożenie wniosku o dofinansowanie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konkursie przeprowadzanym w ramach działania;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Instytucja Pośredniczą</w:t>
      </w:r>
      <w:r>
        <w:rPr>
          <w:rFonts w:ascii="Calibri" w:hAnsi="Calibri"/>
          <w:b/>
          <w:bCs/>
          <w:lang w:val="pt-PT"/>
        </w:rPr>
        <w:t xml:space="preserve">ca (IP) </w:t>
      </w:r>
      <w:r>
        <w:rPr>
          <w:rFonts w:ascii="Calibri" w:hAnsi="Calibri"/>
          <w:b/>
          <w:bCs/>
        </w:rPr>
        <w:t>–</w:t>
      </w:r>
      <w:r>
        <w:rPr>
          <w:rFonts w:ascii="Calibri" w:hAnsi="Calibri"/>
        </w:rPr>
        <w:t xml:space="preserve"> podmiot,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art. 2 pkt 9 ustawy wdrożeniowej. W przypadku działania funkcję Instytucji Pośredniczącej pełni Polska Agencja Rozwoju </w:t>
      </w:r>
      <w:proofErr w:type="spellStart"/>
      <w:r>
        <w:rPr>
          <w:rFonts w:ascii="Calibri" w:hAnsi="Calibri"/>
        </w:rPr>
        <w:t>Przedsiębiorczoś</w:t>
      </w:r>
      <w:proofErr w:type="spellEnd"/>
      <w:r>
        <w:rPr>
          <w:rFonts w:ascii="Calibri" w:hAnsi="Calibri"/>
          <w:lang w:val="it-IT"/>
        </w:rPr>
        <w:t>ci (PARP);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Instytucja Zarządzająca (IZ)</w:t>
      </w:r>
      <w:r>
        <w:rPr>
          <w:rFonts w:ascii="Calibri" w:hAnsi="Calibri"/>
        </w:rPr>
        <w:t xml:space="preserve"> – instytucję,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mowa w art. 2 pkt 11 ustawy wdrożeniowej. W przypadku działania funkcję Instytucji Zarządzającej </w:t>
      </w:r>
      <w:proofErr w:type="spellStart"/>
      <w:r>
        <w:rPr>
          <w:rFonts w:ascii="Calibri" w:hAnsi="Calibri"/>
        </w:rPr>
        <w:t>peł</w:t>
      </w:r>
      <w:r>
        <w:rPr>
          <w:rFonts w:ascii="Calibri" w:hAnsi="Calibri"/>
          <w:lang w:val="en-US"/>
        </w:rPr>
        <w:t>ni</w:t>
      </w:r>
      <w:proofErr w:type="spellEnd"/>
      <w:r>
        <w:rPr>
          <w:rFonts w:ascii="Calibri" w:hAnsi="Calibri"/>
          <w:lang w:val="en-US"/>
        </w:rPr>
        <w:t xml:space="preserve"> minister w</w:t>
      </w:r>
      <w:proofErr w:type="spellStart"/>
      <w:r>
        <w:rPr>
          <w:rFonts w:ascii="Calibri" w:hAnsi="Calibri"/>
        </w:rPr>
        <w:t>łaściwy</w:t>
      </w:r>
      <w:proofErr w:type="spellEnd"/>
      <w:r>
        <w:rPr>
          <w:rFonts w:ascii="Calibri" w:hAnsi="Calibri"/>
        </w:rPr>
        <w:t xml:space="preserve"> do spraw rozwoju regionalnego;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inwestycja początkowa</w:t>
      </w:r>
      <w:r>
        <w:rPr>
          <w:rFonts w:ascii="Calibri" w:hAnsi="Calibri"/>
        </w:rPr>
        <w:t xml:space="preserve"> – oznacza inwestycję w rzeczowe aktywa trwałe lub wartości niematerialne i prawne związane ze zwiększeniem zdolności produkcyjnej istniejącego zakładu albo dywersyfikacją produkcji zakładu poprzez wprowadzenie produkt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uprzednio nieprodukowanych w zakładzie albo zasadniczą zmianą dotyczącą procesu produkcyjnego istniejącego zakładu, w rozumieniu art. 2 pkt 49 lit. a rozporządzenia KE nr 651/2014;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Komisja Oceny Projekt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lang w:val="de-DE"/>
        </w:rPr>
        <w:t>(KOP)</w:t>
      </w:r>
      <w:r>
        <w:rPr>
          <w:rFonts w:ascii="Calibri" w:hAnsi="Calibri"/>
        </w:rPr>
        <w:t xml:space="preserve"> – komisję,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mowa w art. 44 ustawy wdrożeniowej, powołaną do oceny spełnienia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uczestniczących w konkursie;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makroregion Polski Wschodniej </w:t>
      </w:r>
      <w:r>
        <w:rPr>
          <w:rFonts w:ascii="Calibri" w:hAnsi="Calibri"/>
        </w:rPr>
        <w:t xml:space="preserve">– obszar obejmujący następujące </w:t>
      </w:r>
      <w:proofErr w:type="spellStart"/>
      <w:r>
        <w:rPr>
          <w:rFonts w:ascii="Calibri" w:hAnsi="Calibri"/>
        </w:rPr>
        <w:t>wojew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dztwa</w:t>
      </w:r>
      <w:proofErr w:type="spellEnd"/>
      <w:r>
        <w:rPr>
          <w:rFonts w:ascii="Calibri" w:hAnsi="Calibri"/>
        </w:rPr>
        <w:t>: lubelskie, podkarpackie, podlaskie, świętokrzyskie i warmińsko – mazurskie;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mikroprzedsiębiorca</w:t>
      </w:r>
      <w:proofErr w:type="spellEnd"/>
      <w:r>
        <w:rPr>
          <w:rFonts w:ascii="Calibri" w:hAnsi="Calibri"/>
          <w:b/>
          <w:bCs/>
        </w:rPr>
        <w:t>, mały lub średni przedsiębiorca (</w:t>
      </w:r>
      <w:r>
        <w:rPr>
          <w:rFonts w:ascii="Calibri" w:hAnsi="Calibri"/>
        </w:rPr>
        <w:t>MŚP</w:t>
      </w:r>
      <w:r>
        <w:rPr>
          <w:rFonts w:ascii="Calibri" w:hAnsi="Calibri"/>
          <w:b/>
          <w:bCs/>
        </w:rPr>
        <w:t xml:space="preserve">) </w:t>
      </w:r>
      <w:r>
        <w:rPr>
          <w:rFonts w:ascii="Calibri" w:hAnsi="Calibri"/>
        </w:rPr>
        <w:t xml:space="preserve">– odpowiednio </w:t>
      </w:r>
      <w:proofErr w:type="spellStart"/>
      <w:r>
        <w:rPr>
          <w:rFonts w:ascii="Calibri" w:hAnsi="Calibri"/>
        </w:rPr>
        <w:t>mikroprzedsiębiorcę</w:t>
      </w:r>
      <w:proofErr w:type="spellEnd"/>
      <w:r>
        <w:rPr>
          <w:rFonts w:ascii="Calibri" w:hAnsi="Calibri"/>
        </w:rPr>
        <w:t>, małego lub średniego przedsiębiorcę spełniającego warunki określone w załączniku I do rozporządzenia KE nr 651/2014;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  <w:lang w:val="da-DK"/>
        </w:rPr>
      </w:pPr>
      <w:r>
        <w:rPr>
          <w:rFonts w:ascii="Calibri" w:hAnsi="Calibri"/>
          <w:b/>
          <w:bCs/>
          <w:lang w:val="da-DK"/>
        </w:rPr>
        <w:t>Panel Ekspert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</w:t>
      </w:r>
      <w:r>
        <w:rPr>
          <w:rFonts w:ascii="Calibri" w:hAnsi="Calibri"/>
        </w:rPr>
        <w:t xml:space="preserve"> – co najmniej </w:t>
      </w:r>
      <w:proofErr w:type="spellStart"/>
      <w:r>
        <w:rPr>
          <w:rFonts w:ascii="Calibri" w:hAnsi="Calibri"/>
        </w:rPr>
        <w:t>dw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członk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KOP, dokonujących </w:t>
      </w:r>
      <w:proofErr w:type="spellStart"/>
      <w:r>
        <w:rPr>
          <w:rFonts w:ascii="Calibri" w:hAnsi="Calibri"/>
        </w:rPr>
        <w:t>wsp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lnej</w:t>
      </w:r>
      <w:proofErr w:type="spellEnd"/>
      <w:r>
        <w:rPr>
          <w:rFonts w:ascii="Calibri" w:hAnsi="Calibri"/>
        </w:rPr>
        <w:t xml:space="preserve"> oceny projektu zgodnie z zasadami określonymi w regulaminie prac Komisji Oceny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portal</w:t>
      </w:r>
      <w:r>
        <w:rPr>
          <w:rFonts w:ascii="Calibri" w:hAnsi="Calibri"/>
        </w:rPr>
        <w:t xml:space="preserve"> – portal internetowy,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art. 2 pkt 16 ustawy wdrożeniowej, dostępny pod adresem </w:t>
      </w:r>
      <w:hyperlink r:id="rId8" w:history="1">
        <w:r>
          <w:rPr>
            <w:rStyle w:val="Hyperlink0"/>
            <w:rFonts w:ascii="Calibri" w:hAnsi="Calibri"/>
          </w:rPr>
          <w:t>www.funduszeeuropejskie.gov.pl</w:t>
        </w:r>
      </w:hyperlink>
      <w:r>
        <w:rPr>
          <w:rFonts w:ascii="Calibri" w:hAnsi="Calibri"/>
        </w:rPr>
        <w:t>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produkt </w:t>
      </w:r>
      <w:r>
        <w:rPr>
          <w:rFonts w:ascii="Calibri" w:hAnsi="Calibri"/>
        </w:rPr>
        <w:t>– wyr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lub usługa wdrożona w wyniku realizacji projektu;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projekt</w:t>
      </w:r>
      <w:r>
        <w:rPr>
          <w:rFonts w:ascii="Calibri" w:hAnsi="Calibri"/>
        </w:rPr>
        <w:t xml:space="preserve"> – przedsięwzięcie,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art. 2 pkt 18 ustawy wdrożeniowej;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runda konkursu</w:t>
      </w:r>
      <w:r>
        <w:rPr>
          <w:rFonts w:ascii="Calibri" w:hAnsi="Calibri"/>
        </w:rPr>
        <w:t xml:space="preserve"> – </w:t>
      </w:r>
      <w:r>
        <w:rPr>
          <w:rFonts w:ascii="Calibri" w:hAnsi="Calibri"/>
          <w:lang w:val="de-DE"/>
        </w:rPr>
        <w:t>rund</w:t>
      </w:r>
      <w:r>
        <w:rPr>
          <w:rFonts w:ascii="Calibri" w:hAnsi="Calibri"/>
        </w:rPr>
        <w:t xml:space="preserve">ę,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art. 39 ust. 3 ustawy wdrożeniowej;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strategia wzornicza</w:t>
      </w:r>
      <w:r>
        <w:rPr>
          <w:rFonts w:ascii="Calibri" w:hAnsi="Calibri"/>
        </w:rPr>
        <w:t xml:space="preserve"> – strategia opracowana w ramach Etapu I działania rozumiana jako raport z przeprowadzonego audytu wzorniczego zawierający co najmniej następujące elementy:</w:t>
      </w:r>
    </w:p>
    <w:p w:rsidR="0013735D" w:rsidRDefault="004B7B7B">
      <w:pPr>
        <w:pStyle w:val="Akapitzlist"/>
        <w:numPr>
          <w:ilvl w:val="4"/>
          <w:numId w:val="15"/>
        </w:numPr>
        <w:spacing w:after="120" w:line="276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og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lną</w:t>
      </w:r>
      <w:proofErr w:type="spellEnd"/>
      <w:r>
        <w:rPr>
          <w:rFonts w:ascii="Calibri" w:hAnsi="Calibri"/>
        </w:rPr>
        <w:t xml:space="preserve"> charakterystykę firmy zawierającą analizę wzorniczą przedsiębiorstwa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zakresie produkt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technologii, struktury organizacyjnej, proces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komunikacji z klientem, strategii marketingowej,</w:t>
      </w:r>
    </w:p>
    <w:p w:rsidR="0013735D" w:rsidRDefault="004B7B7B">
      <w:pPr>
        <w:pStyle w:val="Akapitzlist"/>
        <w:numPr>
          <w:ilvl w:val="4"/>
          <w:numId w:val="15"/>
        </w:numPr>
        <w:spacing w:after="120" w:line="276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og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lny opis otoczenia firmy w zakresie designu zawierający co najmniej informacje odnośnie charakterystyki klient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opis głównych konkurent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</w:t>
      </w:r>
    </w:p>
    <w:p w:rsidR="0013735D" w:rsidRDefault="004B7B7B">
      <w:pPr>
        <w:pStyle w:val="Akapitzlist"/>
        <w:numPr>
          <w:ilvl w:val="4"/>
          <w:numId w:val="15"/>
        </w:numPr>
        <w:spacing w:after="120" w:line="276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opis trend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rynkowych, określenie kluczowych w kontekście beneficjenta trend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branżowych, społecznych i technologicznych o dużym potencjale wpływu na rynek beneficjenta,</w:t>
      </w:r>
    </w:p>
    <w:p w:rsidR="0013735D" w:rsidRDefault="004B7B7B">
      <w:pPr>
        <w:pStyle w:val="Akapitzlist"/>
        <w:numPr>
          <w:ilvl w:val="4"/>
          <w:numId w:val="1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ocenę poziomu wykorzystania wzornictwa w firmie oraz jej potencjału w tym zakresie,</w:t>
      </w:r>
    </w:p>
    <w:p w:rsidR="0013735D" w:rsidRDefault="004B7B7B">
      <w:pPr>
        <w:pStyle w:val="Akapitzlist"/>
        <w:numPr>
          <w:ilvl w:val="4"/>
          <w:numId w:val="1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zdefiniowanie problem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wzorniczych w firmie (przy czym problemy te mogą dotyczyć </w:t>
      </w:r>
      <w:proofErr w:type="spellStart"/>
      <w:r>
        <w:rPr>
          <w:rFonts w:ascii="Calibri" w:hAnsi="Calibri"/>
        </w:rPr>
        <w:t>zar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wno</w:t>
      </w:r>
      <w:proofErr w:type="spellEnd"/>
      <w:r>
        <w:rPr>
          <w:rFonts w:ascii="Calibri" w:hAnsi="Calibri"/>
        </w:rPr>
        <w:t xml:space="preserve"> produktu, jak i innych proces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biznesowych w firmie),</w:t>
      </w:r>
    </w:p>
    <w:p w:rsidR="0013735D" w:rsidRDefault="004B7B7B">
      <w:pPr>
        <w:pStyle w:val="Akapitzlist"/>
        <w:numPr>
          <w:ilvl w:val="4"/>
          <w:numId w:val="1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możliwości rozwiązania problem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wzorniczych w firmie,</w:t>
      </w:r>
    </w:p>
    <w:p w:rsidR="0013735D" w:rsidRDefault="004B7B7B">
      <w:pPr>
        <w:pStyle w:val="Akapitzlist"/>
        <w:numPr>
          <w:ilvl w:val="4"/>
          <w:numId w:val="1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rekomendacje dalszych szczegółowych działań dla firmy wraz z wstępnym harmonogramem i oszacowaniem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ich wdrożenia;</w:t>
      </w:r>
    </w:p>
    <w:p w:rsidR="0013735D" w:rsidRDefault="004B7B7B">
      <w:pPr>
        <w:pStyle w:val="Akapitzlist"/>
        <w:numPr>
          <w:ilvl w:val="0"/>
          <w:numId w:val="1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strona działania – </w:t>
      </w:r>
      <w:r>
        <w:rPr>
          <w:rFonts w:ascii="Calibri" w:hAnsi="Calibri"/>
        </w:rPr>
        <w:t xml:space="preserve">podstronę internetową PARP działająca pod adresem </w:t>
      </w:r>
      <w:hyperlink r:id="rId9" w:history="1">
        <w:r w:rsidRPr="00FA674D">
          <w:rPr>
            <w:rStyle w:val="Hyperlink1"/>
            <w:rFonts w:ascii="Calibri" w:eastAsia="Arial Unicode MS" w:hAnsi="Calibri" w:cs="Calibri"/>
          </w:rPr>
          <w:t>https://www.parp.gov.pl/component/grants/grants/wzor-na-konkurencje-ii-etap-wdrozenie-strategii-wzorniczej</w:t>
        </w:r>
      </w:hyperlink>
      <w:r w:rsidRPr="00FA674D">
        <w:rPr>
          <w:rStyle w:val="Hyperlink0"/>
          <w:rFonts w:ascii="Calibri" w:hAnsi="Calibri" w:cs="Calibri"/>
        </w:rPr>
        <w:t>,</w:t>
      </w:r>
      <w:r>
        <w:rPr>
          <w:rFonts w:ascii="Calibri" w:hAnsi="Calibri"/>
        </w:rPr>
        <w:t xml:space="preserve"> zawierającą informacje pomocnicze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zakresie procedury konkursowej;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wniosek o dofinansowanie </w:t>
      </w:r>
      <w:r>
        <w:rPr>
          <w:rFonts w:ascii="Calibri" w:hAnsi="Calibri"/>
        </w:rPr>
        <w:t xml:space="preserve">– dokument, w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zawarte są informacje o wnioskodawcy oraz opis projektu lub przedstawione w innej formie informacje na temat projektu i wnioskodawcy, </w:t>
      </w:r>
      <w:proofErr w:type="spellStart"/>
      <w:r>
        <w:rPr>
          <w:rFonts w:ascii="Calibri" w:hAnsi="Calibri"/>
        </w:rPr>
        <w:t>wz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wniosku o dofinansowanie stanowi załącznik nr 2 do regulaminu;</w:t>
      </w:r>
    </w:p>
    <w:p w:rsidR="0013735D" w:rsidRDefault="004B7B7B">
      <w:pPr>
        <w:pStyle w:val="Akapitzlist"/>
        <w:numPr>
          <w:ilvl w:val="0"/>
          <w:numId w:val="1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wnioskodawca</w:t>
      </w:r>
      <w:r>
        <w:rPr>
          <w:rFonts w:ascii="Calibri" w:hAnsi="Calibri"/>
        </w:rPr>
        <w:t xml:space="preserve"> – podmiot,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art. 2 pkt 28 ustawy wdrożeniowej.</w:t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 xml:space="preserve">§ 3. Postanowienia </w:t>
      </w:r>
      <w:proofErr w:type="spellStart"/>
      <w:r>
        <w:rPr>
          <w:rFonts w:ascii="Calibri" w:hAnsi="Calibri"/>
          <w:color w:val="000000"/>
          <w:u w:color="000000"/>
        </w:rPr>
        <w:t>og</w:t>
      </w:r>
      <w:proofErr w:type="spellEnd"/>
      <w:r>
        <w:rPr>
          <w:rFonts w:ascii="Calibri" w:hAnsi="Calibri"/>
          <w:color w:val="000000"/>
          <w:u w:color="000000"/>
          <w:lang w:val="es-ES_tradnl"/>
        </w:rPr>
        <w:t>ó</w:t>
      </w:r>
      <w:proofErr w:type="spellStart"/>
      <w:r>
        <w:rPr>
          <w:rFonts w:ascii="Calibri" w:hAnsi="Calibri"/>
          <w:color w:val="000000"/>
          <w:u w:color="000000"/>
        </w:rPr>
        <w:t>lne</w:t>
      </w:r>
      <w:proofErr w:type="spellEnd"/>
    </w:p>
    <w:p w:rsidR="0013735D" w:rsidRDefault="004B7B7B">
      <w:pPr>
        <w:numPr>
          <w:ilvl w:val="0"/>
          <w:numId w:val="1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Celem konkursu jest </w:t>
      </w:r>
      <w:proofErr w:type="spellStart"/>
      <w:r>
        <w:rPr>
          <w:rFonts w:ascii="Calibri" w:hAnsi="Calibri"/>
        </w:rPr>
        <w:t>wyb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do dofinansowania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 w największym stopniu przyczynią się do osią</w:t>
      </w:r>
      <w:r>
        <w:rPr>
          <w:rFonts w:ascii="Calibri" w:hAnsi="Calibri"/>
          <w:lang w:val="it-IT"/>
        </w:rPr>
        <w:t>gni</w:t>
      </w:r>
      <w:r>
        <w:rPr>
          <w:rFonts w:ascii="Calibri" w:hAnsi="Calibri"/>
        </w:rPr>
        <w:t>ę</w:t>
      </w:r>
      <w:r>
        <w:rPr>
          <w:rFonts w:ascii="Calibri" w:hAnsi="Calibri"/>
          <w:lang w:val="it-IT"/>
        </w:rPr>
        <w:t>cia cel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POPW oraz cel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działania określonych w SZOOP. Do cel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tych należy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wzmocnienie konkurencyjności przedsiębiorstw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sektora MŚP poprzez zwiększenie ich potencjału w zakresie umiejętnego zarządzania wzornictwem oraz wzrost wykorzystywania wzornictwa w działalności przedsiębiorstw, co znajdzie przełożenie na wdrożenie nowych produkt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na rynek. </w:t>
      </w:r>
    </w:p>
    <w:p w:rsidR="0013735D" w:rsidRDefault="004B7B7B">
      <w:pPr>
        <w:numPr>
          <w:ilvl w:val="0"/>
          <w:numId w:val="18"/>
        </w:numPr>
        <w:spacing w:after="120" w:line="276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Wyb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do dofinansowania następuje w trybie konkursowym,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art. 38 ust. 1 pkt 1 ustawy wdrożeniowej.</w:t>
      </w:r>
    </w:p>
    <w:p w:rsidR="0013735D" w:rsidRDefault="004B7B7B">
      <w:pPr>
        <w:numPr>
          <w:ilvl w:val="0"/>
          <w:numId w:val="1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Konkurs jest podzielony na 9 rund. </w:t>
      </w:r>
    </w:p>
    <w:p w:rsidR="0013735D" w:rsidRDefault="004B7B7B">
      <w:pPr>
        <w:tabs>
          <w:tab w:val="left" w:pos="360"/>
          <w:tab w:val="left" w:pos="426"/>
        </w:tabs>
        <w:spacing w:after="120" w:line="276" w:lineRule="auto"/>
        <w:ind w:left="426"/>
        <w:rPr>
          <w:rFonts w:ascii="Calibri" w:eastAsia="Calibri" w:hAnsi="Calibri" w:cs="Calibri"/>
        </w:rPr>
      </w:pPr>
      <w:r>
        <w:rPr>
          <w:rFonts w:ascii="Calibri" w:hAnsi="Calibri"/>
        </w:rPr>
        <w:t>Wnioski o dofinansowanie mogą być składane w następujących terminach:</w:t>
      </w:r>
    </w:p>
    <w:p w:rsidR="0013735D" w:rsidRDefault="004B7B7B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rundy I – </w:t>
      </w:r>
      <w:proofErr w:type="spellStart"/>
      <w:r>
        <w:rPr>
          <w:rFonts w:ascii="Calibri" w:hAnsi="Calibri"/>
        </w:rPr>
        <w:t>nab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terminie od 30.05.2019 r. do 30.06.2019 r.;</w:t>
      </w:r>
    </w:p>
    <w:p w:rsidR="0013735D" w:rsidRDefault="004B7B7B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rundy II – </w:t>
      </w:r>
      <w:proofErr w:type="spellStart"/>
      <w:r>
        <w:rPr>
          <w:rFonts w:ascii="Calibri" w:hAnsi="Calibri"/>
        </w:rPr>
        <w:t>nab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terminie od 01.07.2019 r. do 31.07.2019 r.;</w:t>
      </w:r>
    </w:p>
    <w:p w:rsidR="0013735D" w:rsidRDefault="004B7B7B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rundy III – </w:t>
      </w:r>
      <w:proofErr w:type="spellStart"/>
      <w:r>
        <w:rPr>
          <w:rFonts w:ascii="Calibri" w:hAnsi="Calibri"/>
        </w:rPr>
        <w:t>nab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terminie od 01.08.2019 r. do 31.08.2019 r.;</w:t>
      </w:r>
    </w:p>
    <w:p w:rsidR="0013735D" w:rsidRDefault="004B7B7B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rundy IV – </w:t>
      </w:r>
      <w:proofErr w:type="spellStart"/>
      <w:r>
        <w:rPr>
          <w:rFonts w:ascii="Calibri" w:hAnsi="Calibri"/>
        </w:rPr>
        <w:t>nab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terminie od 01.09.2019 r. do 31.10.2019 r.;</w:t>
      </w:r>
    </w:p>
    <w:p w:rsidR="0013735D" w:rsidRDefault="004B7B7B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rundy V – </w:t>
      </w:r>
      <w:proofErr w:type="spellStart"/>
      <w:r>
        <w:rPr>
          <w:rFonts w:ascii="Calibri" w:hAnsi="Calibri"/>
        </w:rPr>
        <w:t>nab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terminie od 01.11.2019 r. do 31.12.2019 r.;</w:t>
      </w:r>
    </w:p>
    <w:p w:rsidR="0013735D" w:rsidRDefault="004B7B7B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rundy VI – </w:t>
      </w:r>
      <w:proofErr w:type="spellStart"/>
      <w:r>
        <w:rPr>
          <w:rFonts w:ascii="Calibri" w:hAnsi="Calibri"/>
        </w:rPr>
        <w:t>nab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terminie od 01.01.2020 r. do 29.02.2020 r.;</w:t>
      </w:r>
    </w:p>
    <w:p w:rsidR="0013735D" w:rsidRDefault="004B7B7B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rundy VII – </w:t>
      </w:r>
      <w:proofErr w:type="spellStart"/>
      <w:r>
        <w:rPr>
          <w:rFonts w:ascii="Calibri" w:hAnsi="Calibri"/>
        </w:rPr>
        <w:t>nab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terminie od 01.03.2020 r. do 30.04.2020 r.;</w:t>
      </w:r>
    </w:p>
    <w:p w:rsidR="0013735D" w:rsidRDefault="004B7B7B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rundy VIII – </w:t>
      </w:r>
      <w:proofErr w:type="spellStart"/>
      <w:r>
        <w:rPr>
          <w:rFonts w:ascii="Calibri" w:hAnsi="Calibri"/>
        </w:rPr>
        <w:t>nab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terminie od 01.05.2020 r. do 30.06.2020 r.;</w:t>
      </w:r>
    </w:p>
    <w:p w:rsidR="0013735D" w:rsidRDefault="004B7B7B">
      <w:pPr>
        <w:pStyle w:val="Akapitzlist"/>
        <w:numPr>
          <w:ilvl w:val="0"/>
          <w:numId w:val="2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rundy IX – </w:t>
      </w:r>
      <w:proofErr w:type="spellStart"/>
      <w:r>
        <w:rPr>
          <w:rFonts w:ascii="Calibri" w:hAnsi="Calibri"/>
        </w:rPr>
        <w:t>nab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 dofinansowanie w terminie od 01.07.2020 r. do 31.07.2020 r. (w ostatnim dniu naboru do godz. 16:00:00). </w:t>
      </w:r>
    </w:p>
    <w:p w:rsidR="0013735D" w:rsidRDefault="004B7B7B">
      <w:pPr>
        <w:spacing w:after="120" w:line="276" w:lineRule="auto"/>
        <w:ind w:left="36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Termin naboru nie ulegnie </w:t>
      </w:r>
      <w:proofErr w:type="spellStart"/>
      <w:r>
        <w:rPr>
          <w:rFonts w:ascii="Calibri" w:hAnsi="Calibri"/>
        </w:rPr>
        <w:t>skr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ceniu</w:t>
      </w:r>
      <w:proofErr w:type="spellEnd"/>
      <w:r>
        <w:rPr>
          <w:rFonts w:ascii="Calibri" w:hAnsi="Calibri"/>
        </w:rPr>
        <w:t>.</w:t>
      </w:r>
    </w:p>
    <w:p w:rsidR="0013735D" w:rsidRDefault="004B7B7B">
      <w:pPr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Kwota </w:t>
      </w:r>
      <w:proofErr w:type="spellStart"/>
      <w:r>
        <w:rPr>
          <w:rFonts w:ascii="Calibri" w:hAnsi="Calibri"/>
        </w:rPr>
        <w:t>środk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przeznaczonych na dofinansowanie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konkursie wynosi 200 000 000,00 zł (słownie: dwieście milion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złotych).</w:t>
      </w:r>
    </w:p>
    <w:p w:rsidR="0013735D" w:rsidRDefault="004B7B7B">
      <w:pPr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Kwota </w:t>
      </w:r>
      <w:proofErr w:type="spellStart"/>
      <w:r>
        <w:rPr>
          <w:rFonts w:ascii="Calibri" w:hAnsi="Calibri"/>
        </w:rPr>
        <w:t>środk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przeznaczona na dofinansowanie może ulec zwiększeniu, o czym PARP poinformuje zgodnie z § 15 ust. 2. </w:t>
      </w:r>
    </w:p>
    <w:p w:rsidR="0013735D" w:rsidRDefault="004B7B7B">
      <w:pPr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Ilekroć w regulaminie mowa jest o adresie poczty elektronicznej wnioskodawcy, oznacza to adres poczty elektronicznej służący do korespondencji wskazany w </w:t>
      </w:r>
      <w:proofErr w:type="spellStart"/>
      <w:r>
        <w:rPr>
          <w:rFonts w:ascii="Calibri" w:hAnsi="Calibri"/>
        </w:rPr>
        <w:t>częś</w:t>
      </w:r>
      <w:proofErr w:type="spellEnd"/>
      <w:r>
        <w:rPr>
          <w:rFonts w:ascii="Calibri" w:hAnsi="Calibri"/>
          <w:lang w:val="it-IT"/>
        </w:rPr>
        <w:t xml:space="preserve">ci </w:t>
      </w:r>
      <w:r>
        <w:rPr>
          <w:rFonts w:ascii="Calibri" w:hAnsi="Calibri"/>
        </w:rPr>
        <w:t xml:space="preserve">„III. Wnioskodawca – adres korespondencyjny” wniosku o dofinansowanie. </w:t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4. Warunki uczestnictwa w konkursie</w:t>
      </w:r>
    </w:p>
    <w:p w:rsidR="0013735D" w:rsidRDefault="004B7B7B">
      <w:pPr>
        <w:numPr>
          <w:ilvl w:val="0"/>
          <w:numId w:val="2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Wniosek o dofinansowanie uznaje się za złożony, </w:t>
      </w:r>
      <w:proofErr w:type="spellStart"/>
      <w:r>
        <w:rPr>
          <w:rFonts w:ascii="Calibri" w:hAnsi="Calibri"/>
        </w:rPr>
        <w:t>jeś</w:t>
      </w:r>
      <w:proofErr w:type="spellEnd"/>
      <w:r>
        <w:rPr>
          <w:rFonts w:ascii="Calibri" w:hAnsi="Calibri"/>
          <w:lang w:val="it-IT"/>
        </w:rPr>
        <w:t>li spe</w:t>
      </w:r>
      <w:proofErr w:type="spellStart"/>
      <w:r>
        <w:rPr>
          <w:rFonts w:ascii="Calibri" w:hAnsi="Calibri"/>
        </w:rPr>
        <w:t>łnia</w:t>
      </w:r>
      <w:proofErr w:type="spellEnd"/>
      <w:r>
        <w:rPr>
          <w:rFonts w:ascii="Calibri" w:hAnsi="Calibri"/>
        </w:rPr>
        <w:t xml:space="preserve"> następujące warunki:</w:t>
      </w:r>
    </w:p>
    <w:p w:rsidR="0013735D" w:rsidRDefault="004B7B7B">
      <w:pPr>
        <w:pStyle w:val="Akapitzlist"/>
        <w:numPr>
          <w:ilvl w:val="0"/>
          <w:numId w:val="2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został złożony w terminie,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§ 3 ust. 3; </w:t>
      </w:r>
    </w:p>
    <w:p w:rsidR="0013735D" w:rsidRDefault="004B7B7B">
      <w:pPr>
        <w:pStyle w:val="Akapitzlist"/>
        <w:numPr>
          <w:ilvl w:val="0"/>
          <w:numId w:val="2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został złożony w konkursie nr 4 rok 2019 w ramach działania;</w:t>
      </w:r>
    </w:p>
    <w:p w:rsidR="0013735D" w:rsidRDefault="004B7B7B">
      <w:pPr>
        <w:pStyle w:val="Akapitzlist"/>
        <w:numPr>
          <w:ilvl w:val="0"/>
          <w:numId w:val="2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został złożony zgodnie z zasadami określonymi w § 6.</w:t>
      </w:r>
    </w:p>
    <w:p w:rsidR="0013735D" w:rsidRDefault="004B7B7B">
      <w:pPr>
        <w:numPr>
          <w:ilvl w:val="0"/>
          <w:numId w:val="2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Dofinansowanie mogą otrzymać projekty dotyczące wdrożenia rekomendacji wskazanych w strategii wzorniczej opracowanej w ramach Etapu I, tj. przeprowadzenia działań </w:t>
      </w:r>
      <w:r>
        <w:rPr>
          <w:rFonts w:ascii="Calibri" w:hAnsi="Calibri"/>
        </w:rPr>
        <w:br/>
        <w:t>z wykorzystaniem proces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projektowania,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końcowym rezultatem będzie wprowadzenie na rynek innowacji. </w:t>
      </w:r>
    </w:p>
    <w:p w:rsidR="0013735D" w:rsidRDefault="004B7B7B">
      <w:pPr>
        <w:numPr>
          <w:ilvl w:val="0"/>
          <w:numId w:val="2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 dofinansowanie w ramach działania mogą ubiegać się wyłącznie </w:t>
      </w:r>
      <w:proofErr w:type="spellStart"/>
      <w:r>
        <w:rPr>
          <w:rFonts w:ascii="Calibri" w:hAnsi="Calibri"/>
        </w:rPr>
        <w:t>mikroprzedsiębiorcy</w:t>
      </w:r>
      <w:proofErr w:type="spellEnd"/>
      <w:r>
        <w:rPr>
          <w:rFonts w:ascii="Calibri" w:hAnsi="Calibri"/>
        </w:rPr>
        <w:t xml:space="preserve">, mali lub średni przedsiębiorcy, prowadzący działalność gospodarczą na terytorium makroregionu Polski Wschodniej potwierdzoną wpisem do odpowiedniego rejestru,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rzy</w:t>
      </w:r>
      <w:proofErr w:type="spellEnd"/>
      <w:r>
        <w:rPr>
          <w:rFonts w:ascii="Calibri" w:hAnsi="Calibri"/>
        </w:rPr>
        <w:t xml:space="preserve"> prawidłowo wykorzystali pomoc finansową otrzymaną w ramach Etapu I tzn. zrealizowali zakres rzeczowy i finansowy projektu oraz złożyli wniosek o płatność końcową wraz ze strategią wzorniczą,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 zostały zatwierdzone. </w:t>
      </w:r>
    </w:p>
    <w:p w:rsidR="0013735D" w:rsidRDefault="004B7B7B">
      <w:pPr>
        <w:numPr>
          <w:ilvl w:val="0"/>
          <w:numId w:val="2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Dofinansowanie stanowi:</w:t>
      </w:r>
    </w:p>
    <w:p w:rsidR="0013735D" w:rsidRDefault="004B7B7B">
      <w:pPr>
        <w:pStyle w:val="Akapitzlist"/>
        <w:numPr>
          <w:ilvl w:val="0"/>
          <w:numId w:val="2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regionalną pomoc inwestycyjną</w:t>
      </w:r>
      <w:r>
        <w:rPr>
          <w:rFonts w:ascii="Calibri" w:hAnsi="Calibri"/>
        </w:rPr>
        <w:t xml:space="preserve"> zgodnie z przepisami rozdziału I, art. 13 i 14 rozdziału III oraz rozdziału IV rozporządzenia KE nr 651/2014, w zakresie </w:t>
      </w:r>
      <w:proofErr w:type="spellStart"/>
      <w:r>
        <w:rPr>
          <w:rFonts w:ascii="Calibri" w:hAnsi="Calibri"/>
        </w:rPr>
        <w:t>wydatk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</w:t>
      </w:r>
      <w:r>
        <w:rPr>
          <w:rFonts w:ascii="Calibri" w:hAnsi="Calibri"/>
          <w:b/>
          <w:bCs/>
        </w:rPr>
        <w:t>§ 5 ust. 7</w:t>
      </w:r>
      <w:r>
        <w:rPr>
          <w:rFonts w:ascii="Calibri" w:hAnsi="Calibri"/>
        </w:rPr>
        <w:t>;</w:t>
      </w:r>
    </w:p>
    <w:p w:rsidR="0013735D" w:rsidRDefault="004B7B7B">
      <w:pPr>
        <w:pStyle w:val="Akapitzlist"/>
        <w:numPr>
          <w:ilvl w:val="0"/>
          <w:numId w:val="2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pomoc na usługi doradcze</w:t>
      </w:r>
      <w:r>
        <w:rPr>
          <w:rFonts w:ascii="Calibri" w:hAnsi="Calibri"/>
        </w:rPr>
        <w:t xml:space="preserve"> na rzecz MŚP, udzielaną zgodnie z przepisami rozdziału I, art. 18 rozdziału III oraz rozdziału IV rozporządzenia KE nr 651/2014, w zakresie </w:t>
      </w:r>
      <w:proofErr w:type="spellStart"/>
      <w:r>
        <w:rPr>
          <w:rFonts w:ascii="Calibri" w:hAnsi="Calibri"/>
        </w:rPr>
        <w:t>wydatk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</w:t>
      </w:r>
      <w:r>
        <w:rPr>
          <w:rFonts w:ascii="Calibri" w:hAnsi="Calibri"/>
          <w:b/>
          <w:bCs/>
        </w:rPr>
        <w:t>§ 5 ust. 8;</w:t>
      </w:r>
    </w:p>
    <w:p w:rsidR="0013735D" w:rsidRDefault="004B7B7B">
      <w:pPr>
        <w:pStyle w:val="Akapitzlist"/>
        <w:numPr>
          <w:ilvl w:val="0"/>
          <w:numId w:val="2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pomoc de </w:t>
      </w:r>
      <w:proofErr w:type="spellStart"/>
      <w:r>
        <w:rPr>
          <w:rFonts w:ascii="Calibri" w:hAnsi="Calibri"/>
          <w:b/>
          <w:bCs/>
        </w:rPr>
        <w:t>minimis</w:t>
      </w:r>
      <w:proofErr w:type="spellEnd"/>
      <w:r>
        <w:rPr>
          <w:rFonts w:ascii="Calibri" w:hAnsi="Calibri"/>
        </w:rPr>
        <w:t xml:space="preserve">, udzielaną zgodnie z rozporządzeniem KE nr 1407/2013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w zakresie </w:t>
      </w:r>
      <w:proofErr w:type="spellStart"/>
      <w:r>
        <w:rPr>
          <w:rFonts w:ascii="Calibri" w:hAnsi="Calibri"/>
        </w:rPr>
        <w:t>wydatk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</w:t>
      </w:r>
      <w:r>
        <w:rPr>
          <w:rFonts w:ascii="Calibri" w:hAnsi="Calibri"/>
          <w:b/>
          <w:bCs/>
        </w:rPr>
        <w:t>§ 5 ust. 9</w:t>
      </w:r>
      <w:r>
        <w:rPr>
          <w:rFonts w:ascii="Calibri" w:hAnsi="Calibri"/>
        </w:rPr>
        <w:t>.</w:t>
      </w:r>
    </w:p>
    <w:p w:rsidR="0013735D" w:rsidRDefault="004B7B7B">
      <w:pPr>
        <w:numPr>
          <w:ilvl w:val="0"/>
          <w:numId w:val="2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Wnioskodawcy oraz projekty powinni spełniać kryteria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obowiązujące dla działania, zatwierdzone przez Komitet Monitorujący POPW, wskazane w załączniku nr 1 do regulaminu.</w:t>
      </w:r>
    </w:p>
    <w:p w:rsidR="0013735D" w:rsidRDefault="004B7B7B">
      <w:pPr>
        <w:numPr>
          <w:ilvl w:val="0"/>
          <w:numId w:val="2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odniesieniu do okresu realizacji projektu muszą zostać </w:t>
      </w:r>
      <w:proofErr w:type="spellStart"/>
      <w:r>
        <w:rPr>
          <w:rFonts w:ascii="Calibri" w:hAnsi="Calibri"/>
        </w:rPr>
        <w:t>speł</w:t>
      </w:r>
      <w:proofErr w:type="spellEnd"/>
      <w:r>
        <w:rPr>
          <w:rFonts w:ascii="Calibri" w:hAnsi="Calibri"/>
          <w:lang w:val="it-IT"/>
        </w:rPr>
        <w:t xml:space="preserve">nione </w:t>
      </w:r>
      <w:r>
        <w:rPr>
          <w:rFonts w:ascii="Calibri" w:hAnsi="Calibri"/>
        </w:rPr>
        <w:t>łącznie następujące warunki:</w:t>
      </w:r>
    </w:p>
    <w:p w:rsidR="0013735D" w:rsidRDefault="004B7B7B">
      <w:pPr>
        <w:pStyle w:val="Akapitzlist"/>
        <w:widowControl w:val="0"/>
        <w:numPr>
          <w:ilvl w:val="1"/>
          <w:numId w:val="3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realizacja projektu nie może rozpocząć się przed dniem złożenia wniosku ani w dniu złożenia wniosku o dofinansowanie;</w:t>
      </w:r>
    </w:p>
    <w:p w:rsidR="0013735D" w:rsidRDefault="004B7B7B">
      <w:pPr>
        <w:pStyle w:val="Akapitzlist"/>
        <w:widowControl w:val="0"/>
        <w:numPr>
          <w:ilvl w:val="1"/>
          <w:numId w:val="3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okres realizacji projektu nie może być dłuższy niż 18 miesięcy licząc od dnia rozpoczęcia realizacji projektu;</w:t>
      </w:r>
    </w:p>
    <w:p w:rsidR="0013735D" w:rsidRDefault="004B7B7B">
      <w:pPr>
        <w:pStyle w:val="Akapitzlist"/>
        <w:widowControl w:val="0"/>
        <w:numPr>
          <w:ilvl w:val="1"/>
          <w:numId w:val="3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okres realizacji projektu nie może wykraczać poza końcową </w:t>
      </w:r>
      <w:r>
        <w:rPr>
          <w:rFonts w:ascii="Calibri" w:hAnsi="Calibri"/>
          <w:lang w:val="nl-NL"/>
        </w:rPr>
        <w:t>dat</w:t>
      </w:r>
      <w:r>
        <w:rPr>
          <w:rFonts w:ascii="Calibri" w:hAnsi="Calibri"/>
        </w:rPr>
        <w:t>ę okresu kwalifikowalności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ramach POPW, tj. 31 grudnia 2023 r.</w:t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5. Zasady finansowania projekt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w</w:t>
      </w:r>
    </w:p>
    <w:p w:rsidR="0013735D" w:rsidRDefault="004B7B7B">
      <w:pPr>
        <w:pStyle w:val="Akapitzlist"/>
        <w:numPr>
          <w:ilvl w:val="0"/>
          <w:numId w:val="3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Maksymalna kwota dofinansowania projektu dla jednego wnioskodawcy w II Etapie działania wynosi 3 mln zł (słownie: trzy miliony złotych) w przypadku wdrażania innowacji produktowej lub 1 mln zł (słownie: jeden milion złotych) w przypadku wdrażania innowacji innych niż produktowa.</w:t>
      </w:r>
    </w:p>
    <w:p w:rsidR="0013735D" w:rsidRDefault="004B7B7B">
      <w:pPr>
        <w:pStyle w:val="Akapitzlist"/>
        <w:widowControl w:val="0"/>
        <w:numPr>
          <w:ilvl w:val="0"/>
          <w:numId w:val="3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Maksymalna intensywność regionalnej pomocy inwestycyjnej</w:t>
      </w:r>
      <w:r>
        <w:rPr>
          <w:rFonts w:ascii="Calibri" w:hAnsi="Calibri"/>
        </w:rPr>
        <w:t xml:space="preserve"> jest określona w § </w:t>
      </w:r>
      <w:r>
        <w:rPr>
          <w:rFonts w:ascii="Calibri" w:hAnsi="Calibri"/>
          <w:lang w:val="it-IT"/>
        </w:rPr>
        <w:t xml:space="preserve">3 i </w:t>
      </w:r>
      <w:r>
        <w:rPr>
          <w:rFonts w:ascii="Calibri" w:hAnsi="Calibri"/>
        </w:rPr>
        <w:t xml:space="preserve">§ 5 rozporządzenia Rady </w:t>
      </w:r>
      <w:proofErr w:type="spellStart"/>
      <w:r>
        <w:rPr>
          <w:rFonts w:ascii="Calibri" w:hAnsi="Calibri"/>
        </w:rPr>
        <w:t>Ministr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 dnia 30 czerwca 2014 r. w sprawie ustalenia mapy pomocy regionalnej na lata 2014-2020 (Dz.U. z 2014 r., poz. 878).</w:t>
      </w:r>
    </w:p>
    <w:p w:rsidR="0013735D" w:rsidRDefault="004B7B7B">
      <w:pPr>
        <w:pStyle w:val="Akapitzlist"/>
        <w:widowControl w:val="0"/>
        <w:numPr>
          <w:ilvl w:val="0"/>
          <w:numId w:val="3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Maksymalna intensywność pomocy na usługi doradcze</w:t>
      </w:r>
      <w:r>
        <w:rPr>
          <w:rFonts w:ascii="Calibri" w:hAnsi="Calibri"/>
        </w:rPr>
        <w:t xml:space="preserve">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8 wynosi 50%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kwalifikowalnych.</w:t>
      </w:r>
    </w:p>
    <w:p w:rsidR="0013735D" w:rsidRDefault="004B7B7B">
      <w:pPr>
        <w:pStyle w:val="Akapitzlist"/>
        <w:widowControl w:val="0"/>
        <w:numPr>
          <w:ilvl w:val="0"/>
          <w:numId w:val="3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Maksymalna intensywność pomocy </w:t>
      </w:r>
      <w:r>
        <w:rPr>
          <w:rFonts w:ascii="Calibri" w:hAnsi="Calibri"/>
          <w:b/>
          <w:bCs/>
          <w:i/>
          <w:iCs/>
          <w:lang w:val="it-IT"/>
        </w:rPr>
        <w:t>de minimis</w:t>
      </w:r>
      <w:r>
        <w:rPr>
          <w:rFonts w:ascii="Calibri" w:hAnsi="Calibri"/>
        </w:rPr>
        <w:t xml:space="preserve"> na koszty,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9, dla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w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jednocześnie występuje regionalna pomoc inwestycyjna określana jest zgodnie z intensywnością regionalnej pomocy inwestycyjnej,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mowa w § 3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i § 5 rozporządzenia Rady </w:t>
      </w:r>
      <w:proofErr w:type="spellStart"/>
      <w:r>
        <w:rPr>
          <w:rFonts w:ascii="Calibri" w:hAnsi="Calibri"/>
        </w:rPr>
        <w:t>Ministr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 dnia 30 czerwca 2014 r. w sprawie ustalenia mapy pomocy regionalnej na lata 2014-2020.</w:t>
      </w:r>
    </w:p>
    <w:p w:rsidR="0013735D" w:rsidRDefault="004B7B7B">
      <w:pPr>
        <w:pStyle w:val="Akapitzlist"/>
        <w:numPr>
          <w:ilvl w:val="0"/>
          <w:numId w:val="3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pozostałych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</w:t>
      </w:r>
      <w:r>
        <w:rPr>
          <w:rFonts w:ascii="Calibri" w:hAnsi="Calibri"/>
          <w:b/>
          <w:bCs/>
        </w:rPr>
        <w:t xml:space="preserve"> maksymalna intensywność pomocy </w:t>
      </w:r>
      <w:r>
        <w:rPr>
          <w:rFonts w:ascii="Calibri" w:hAnsi="Calibri"/>
          <w:b/>
          <w:bCs/>
          <w:i/>
          <w:iCs/>
          <w:lang w:val="it-IT"/>
        </w:rPr>
        <w:t>de minimis</w:t>
      </w:r>
      <w:r>
        <w:rPr>
          <w:rFonts w:ascii="Calibri" w:hAnsi="Calibri"/>
        </w:rPr>
        <w:t xml:space="preserve"> na koszty,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9, wynosi 50%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kwalifikowalnych.</w:t>
      </w:r>
    </w:p>
    <w:p w:rsidR="0013735D" w:rsidRDefault="004B7B7B">
      <w:pPr>
        <w:pStyle w:val="Akapitzlist"/>
        <w:numPr>
          <w:ilvl w:val="0"/>
          <w:numId w:val="3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Do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kwalifikowalnych zalicza się koszty wynikające bezpośrednio ze strategii wzorniczej opracowanej w ramach I Etapu działania, niezbędne do realizacji projektu oraz koszty ustanowienia i utrzymania zabezpieczenia dla zaliczki wypłaconej na rzecz MŚP.</w:t>
      </w:r>
    </w:p>
    <w:p w:rsidR="0013735D" w:rsidRDefault="004B7B7B">
      <w:pPr>
        <w:pStyle w:val="Akapitzlist"/>
        <w:numPr>
          <w:ilvl w:val="0"/>
          <w:numId w:val="3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Do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kwalifikowalnych w zakresie </w:t>
      </w:r>
      <w:r>
        <w:rPr>
          <w:rFonts w:ascii="Calibri" w:hAnsi="Calibri"/>
          <w:b/>
          <w:bCs/>
        </w:rPr>
        <w:t>regionalnej pomocy inwestycyjnej</w:t>
      </w:r>
      <w:r>
        <w:rPr>
          <w:rFonts w:ascii="Calibri" w:hAnsi="Calibri"/>
        </w:rPr>
        <w:t xml:space="preserve"> zalicza się koszty realizacji inwestycji początkowej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hAnsi="Calibri"/>
        </w:rPr>
        <w:t xml:space="preserve"> obejmują</w:t>
      </w:r>
      <w:r>
        <w:rPr>
          <w:rFonts w:ascii="Calibri" w:hAnsi="Calibri"/>
          <w:lang w:val="it-IT"/>
        </w:rPr>
        <w:t>ce:</w:t>
      </w:r>
    </w:p>
    <w:p w:rsidR="0013735D" w:rsidRDefault="004B7B7B">
      <w:pPr>
        <w:numPr>
          <w:ilvl w:val="0"/>
          <w:numId w:val="3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nabycie </w:t>
      </w:r>
      <w:proofErr w:type="spellStart"/>
      <w:r>
        <w:rPr>
          <w:rFonts w:ascii="Calibri" w:hAnsi="Calibri"/>
        </w:rPr>
        <w:t>środk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trwałych innych niż </w:t>
      </w:r>
      <w:proofErr w:type="spellStart"/>
      <w:r>
        <w:rPr>
          <w:rFonts w:ascii="Calibri" w:hAnsi="Calibri"/>
        </w:rPr>
        <w:t>nieruchomoś</w:t>
      </w:r>
      <w:proofErr w:type="spellEnd"/>
      <w:r>
        <w:rPr>
          <w:rFonts w:ascii="Calibri" w:hAnsi="Calibri"/>
          <w:lang w:val="it-IT"/>
        </w:rPr>
        <w:t>ci;</w:t>
      </w:r>
    </w:p>
    <w:p w:rsidR="0013735D" w:rsidRDefault="004B7B7B">
      <w:pPr>
        <w:numPr>
          <w:ilvl w:val="0"/>
          <w:numId w:val="3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nabycie wartości niematerialnych i prawnych w formie patent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licencji, know-how oraz innych praw własności intelektualnej, jeżeli spełniają łącznie następujące warunki:</w:t>
      </w:r>
    </w:p>
    <w:p w:rsidR="0013735D" w:rsidRDefault="004B7B7B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będą wykorzystywane wyłącznie w przedsiębiorstwie przedsiębiorcy otrzymującego pomoc,</w:t>
      </w:r>
    </w:p>
    <w:p w:rsidR="0013735D" w:rsidRDefault="004B7B7B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będą podlegać amortyzacji zgodnie z przepisami o </w:t>
      </w:r>
      <w:proofErr w:type="spellStart"/>
      <w:r>
        <w:rPr>
          <w:rFonts w:ascii="Calibri" w:hAnsi="Calibri"/>
        </w:rPr>
        <w:t>rachunkowoś</w:t>
      </w:r>
      <w:proofErr w:type="spellEnd"/>
      <w:r>
        <w:rPr>
          <w:rFonts w:ascii="Calibri" w:hAnsi="Calibri"/>
          <w:lang w:val="it-IT"/>
        </w:rPr>
        <w:t>ci,</w:t>
      </w:r>
    </w:p>
    <w:p w:rsidR="0013735D" w:rsidRDefault="004B7B7B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będą nabyte od 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trzecich niepowiązanych z przedsiębiorcą na warunkach rynkowych,</w:t>
      </w:r>
    </w:p>
    <w:p w:rsidR="0013735D" w:rsidRDefault="004B7B7B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będą stanowić aktywa przedsiębiorcy otrzymującego pomoc i pozostaną związane z projektem oraz pozostaną w jego przedsiębiorstwie przez co najmniej 3 lata od dnia zakończenia realizacji projektu.</w:t>
      </w:r>
    </w:p>
    <w:p w:rsidR="0013735D" w:rsidRDefault="004B7B7B">
      <w:pPr>
        <w:pStyle w:val="Akapitzlist"/>
        <w:widowControl w:val="0"/>
        <w:numPr>
          <w:ilvl w:val="0"/>
          <w:numId w:val="3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Do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kwalifikowalnych w zakresie </w:t>
      </w:r>
      <w:r>
        <w:rPr>
          <w:rFonts w:ascii="Calibri" w:hAnsi="Calibri"/>
          <w:b/>
          <w:bCs/>
        </w:rPr>
        <w:t>pomocy na usługi doradcze</w:t>
      </w:r>
      <w:r>
        <w:rPr>
          <w:rFonts w:ascii="Calibri" w:hAnsi="Calibri"/>
        </w:rPr>
        <w:t xml:space="preserve"> na rzecz MŚP zalicza się koszty usług doradczych świadczonych przez </w:t>
      </w:r>
      <w:proofErr w:type="spellStart"/>
      <w:r>
        <w:rPr>
          <w:rFonts w:ascii="Calibri" w:hAnsi="Calibri"/>
        </w:rPr>
        <w:t>doradc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zewnętrznych związanych z wdrożeniem strategii wzorniczej, opracowanej w ramach Etapu I. Usługi doradcze nie mogą </w:t>
      </w:r>
      <w:r>
        <w:rPr>
          <w:rFonts w:ascii="Calibri" w:hAnsi="Calibri"/>
          <w:lang w:val="es-ES_tradnl"/>
        </w:rPr>
        <w:t>mie</w:t>
      </w:r>
      <w:r>
        <w:rPr>
          <w:rFonts w:ascii="Calibri" w:hAnsi="Calibri"/>
        </w:rPr>
        <w:t xml:space="preserve">ć charakteru ciągłego ani okresowego oraz nie mogą być związane z bieżącą działalnością operacyjną MŚP,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w zakresie doradztwa podatkowego, stałej obsługi prawnej lub reklamy.</w:t>
      </w:r>
    </w:p>
    <w:p w:rsidR="0013735D" w:rsidRDefault="004B7B7B">
      <w:pPr>
        <w:pStyle w:val="Akapitzlist"/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Do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kwalifikowanych w zakresie </w:t>
      </w:r>
      <w:r>
        <w:rPr>
          <w:rFonts w:ascii="Calibri" w:hAnsi="Calibri"/>
          <w:b/>
          <w:bCs/>
        </w:rPr>
        <w:t xml:space="preserve">pomocy </w:t>
      </w:r>
      <w:r>
        <w:rPr>
          <w:rFonts w:ascii="Calibri" w:hAnsi="Calibri"/>
          <w:b/>
          <w:bCs/>
          <w:i/>
          <w:iCs/>
          <w:lang w:val="it-IT"/>
        </w:rPr>
        <w:t>de minimis</w:t>
      </w:r>
      <w:r>
        <w:rPr>
          <w:rFonts w:ascii="Calibri" w:hAnsi="Calibri"/>
        </w:rPr>
        <w:t xml:space="preserve"> zalicza się koszty ustanowienia i utrzymania zabezpieczenia w formie,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§ 33 pkt 6 rozporządzenia, dla zaliczki wypłaconej na rzecz MŚP.</w:t>
      </w:r>
    </w:p>
    <w:p w:rsidR="0013735D" w:rsidRDefault="004B7B7B">
      <w:pPr>
        <w:pStyle w:val="Akapitzlist"/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Pomoc </w:t>
      </w:r>
      <w:r>
        <w:rPr>
          <w:rFonts w:ascii="Calibri" w:hAnsi="Calibri"/>
          <w:i/>
          <w:iCs/>
          <w:lang w:val="it-IT"/>
        </w:rPr>
        <w:t>de minimis</w:t>
      </w:r>
      <w:r>
        <w:rPr>
          <w:rFonts w:ascii="Calibri" w:hAnsi="Calibri"/>
        </w:rPr>
        <w:t xml:space="preserve"> może być udzielona wnioskodawcy, jeżeli wartość tej pomocy brutto łącznie z wartością innej pomocy </w:t>
      </w:r>
      <w:r>
        <w:rPr>
          <w:rFonts w:ascii="Calibri" w:hAnsi="Calibri"/>
          <w:i/>
          <w:iCs/>
          <w:lang w:val="it-IT"/>
        </w:rPr>
        <w:t>de minimis</w:t>
      </w:r>
      <w:r>
        <w:rPr>
          <w:rFonts w:ascii="Calibri" w:hAnsi="Calibri"/>
        </w:rPr>
        <w:t xml:space="preserve"> otrzymanej przez jednego przedsiębiorcę </w:t>
      </w:r>
      <w:r>
        <w:rPr>
          <w:rFonts w:ascii="Calibri" w:hAnsi="Calibri"/>
        </w:rPr>
        <w:br/>
        <w:t>w rozumieniu art. 2 ust. 2 rozporządzenia nr 1407/2013, w okresie bieżącego roku i </w:t>
      </w:r>
      <w:proofErr w:type="spellStart"/>
      <w:r>
        <w:rPr>
          <w:rFonts w:ascii="Calibri" w:hAnsi="Calibri"/>
        </w:rPr>
        <w:t>dw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ch</w:t>
      </w:r>
      <w:proofErr w:type="spellEnd"/>
      <w:r>
        <w:rPr>
          <w:rFonts w:ascii="Calibri" w:hAnsi="Calibri"/>
        </w:rPr>
        <w:t xml:space="preserve"> poprzednich lat podatkowych nie przekracza kwoty stanowiącej r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wnowartość</w:t>
      </w:r>
      <w:proofErr w:type="spellEnd"/>
      <w:r>
        <w:rPr>
          <w:rFonts w:ascii="Calibri" w:hAnsi="Calibri"/>
        </w:rPr>
        <w:t xml:space="preserve"> 200 000 euro, a w przypadku przedsiębiorcy prowadzącego działalność w sektorze drogowego transportu towar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- 100 000 euro oraz </w:t>
      </w:r>
      <w:proofErr w:type="spellStart"/>
      <w:r>
        <w:rPr>
          <w:rFonts w:ascii="Calibri" w:hAnsi="Calibri"/>
        </w:rPr>
        <w:t>speł</w:t>
      </w:r>
      <w:proofErr w:type="spellEnd"/>
      <w:r>
        <w:rPr>
          <w:rFonts w:ascii="Calibri" w:hAnsi="Calibri"/>
          <w:lang w:val="it-IT"/>
        </w:rPr>
        <w:t>nione s</w:t>
      </w:r>
      <w:r>
        <w:rPr>
          <w:rFonts w:ascii="Calibri" w:hAnsi="Calibri"/>
        </w:rPr>
        <w:t>ą inne warunki określone w odrębnych przepisach prawa.</w:t>
      </w:r>
    </w:p>
    <w:p w:rsidR="0013735D" w:rsidRDefault="004B7B7B">
      <w:pPr>
        <w:pStyle w:val="Akapitzlist"/>
        <w:widowControl w:val="0"/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Warunki uznania poniesionych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za koszty kwalifikowalne zostały </w:t>
      </w:r>
      <w:proofErr w:type="spellStart"/>
      <w:r>
        <w:rPr>
          <w:rFonts w:ascii="Calibri" w:hAnsi="Calibri"/>
        </w:rPr>
        <w:t>okreś</w:t>
      </w:r>
      <w:proofErr w:type="spellEnd"/>
      <w:r>
        <w:rPr>
          <w:rFonts w:ascii="Calibri" w:hAnsi="Calibri"/>
          <w:lang w:val="it-IT"/>
        </w:rPr>
        <w:t xml:space="preserve">lone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>: w art. 6c ustawy o PARP, w § 8 rozporządzenia oraz wytycznych w zakresie kwalifikowalności.</w:t>
      </w:r>
    </w:p>
    <w:p w:rsidR="0013735D" w:rsidRDefault="004B7B7B">
      <w:pPr>
        <w:pStyle w:val="Akapitzlist"/>
        <w:widowControl w:val="0"/>
        <w:numPr>
          <w:ilvl w:val="0"/>
          <w:numId w:val="3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przypadku </w:t>
      </w:r>
      <w:proofErr w:type="spellStart"/>
      <w:r>
        <w:rPr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wień</w:t>
      </w:r>
      <w:proofErr w:type="spellEnd"/>
      <w:r>
        <w:rPr>
          <w:rFonts w:ascii="Calibri" w:hAnsi="Calibri"/>
        </w:rPr>
        <w:t xml:space="preserve">, do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nie stosuje się ustawy z dnia 29 stycznia 2004 r. Prawo </w:t>
      </w:r>
      <w:proofErr w:type="spellStart"/>
      <w:r>
        <w:rPr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wień</w:t>
      </w:r>
      <w:proofErr w:type="spellEnd"/>
      <w:r>
        <w:rPr>
          <w:rFonts w:ascii="Calibri" w:hAnsi="Calibri"/>
        </w:rPr>
        <w:t xml:space="preserve"> publicznych (Dz. U. z 20</w:t>
      </w:r>
      <w:r w:rsidR="00E50AF3">
        <w:rPr>
          <w:rFonts w:ascii="Calibri" w:hAnsi="Calibri"/>
        </w:rPr>
        <w:t>19</w:t>
      </w:r>
      <w:r>
        <w:rPr>
          <w:rFonts w:ascii="Calibri" w:hAnsi="Calibri"/>
        </w:rPr>
        <w:t xml:space="preserve"> r. poz. 1</w:t>
      </w:r>
      <w:r w:rsidR="00E50AF3">
        <w:rPr>
          <w:rFonts w:ascii="Calibri" w:hAnsi="Calibri"/>
        </w:rPr>
        <w:t>843</w:t>
      </w:r>
      <w:r>
        <w:rPr>
          <w:rFonts w:ascii="Calibri" w:hAnsi="Calibri"/>
        </w:rPr>
        <w:t xml:space="preserve">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zm.), w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postępowanie o udzielenie </w:t>
      </w:r>
      <w:proofErr w:type="spellStart"/>
      <w:r>
        <w:rPr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wienia</w:t>
      </w:r>
      <w:proofErr w:type="spellEnd"/>
      <w:r>
        <w:rPr>
          <w:rFonts w:ascii="Calibri" w:hAnsi="Calibri"/>
        </w:rPr>
        <w:t xml:space="preserve"> wszczęto przed dniem zawarcia umowy o dofinansowanie projektu zastosowanie mają wymogi określone w rozdziale 6.5 wytycznych w zakresie kwalifikowalności, w tym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dotyczące rozeznania rynku i zasady konkurencyjności. </w:t>
      </w:r>
    </w:p>
    <w:p w:rsidR="0013735D" w:rsidRDefault="004B7B7B">
      <w:pPr>
        <w:pStyle w:val="Akapitzlist"/>
        <w:widowControl w:val="0"/>
        <w:numPr>
          <w:ilvl w:val="0"/>
          <w:numId w:val="3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przypadku publikacji </w:t>
      </w:r>
      <w:proofErr w:type="spellStart"/>
      <w:r>
        <w:rPr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wień</w:t>
      </w:r>
      <w:proofErr w:type="spellEnd"/>
      <w:r>
        <w:rPr>
          <w:rFonts w:ascii="Calibri" w:hAnsi="Calibri"/>
        </w:rPr>
        <w:t xml:space="preserve"> przeprowadzanych zgodnie z zasadą konkurencyjności, wnioskodawca publikuje zapytanie ofertowe na stronie internetowej </w:t>
      </w:r>
      <w:hyperlink r:id="rId10" w:history="1">
        <w:r>
          <w:rPr>
            <w:rStyle w:val="Hyperlink0"/>
            <w:rFonts w:ascii="Calibri" w:hAnsi="Calibri"/>
          </w:rPr>
          <w:t>https://bazakonkurencyjnosci.funduszeeuropejskie.gov.pl/</w:t>
        </w:r>
      </w:hyperlink>
      <w:r>
        <w:rPr>
          <w:rFonts w:ascii="Calibri" w:hAnsi="Calibri"/>
        </w:rPr>
        <w:t xml:space="preserve">. Informację o zmianach zapytania ofertowego, treść pytań dotyczących zapytania ofertowego wraz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z wyjaśnieniami zamawiającego oraz wyniki postępowania upublicznia się w taki </w:t>
      </w:r>
      <w:proofErr w:type="spellStart"/>
      <w:r>
        <w:rPr>
          <w:rFonts w:ascii="Calibri" w:hAnsi="Calibri"/>
        </w:rPr>
        <w:t>spos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b, w jaki zostało upublicznione zapytanie ofertowe.</w:t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 xml:space="preserve">§ 6. Zasady składania i wycofywania </w:t>
      </w:r>
      <w:proofErr w:type="spellStart"/>
      <w:r>
        <w:rPr>
          <w:rFonts w:ascii="Calibri" w:hAnsi="Calibri"/>
          <w:color w:val="000000"/>
          <w:u w:color="000000"/>
        </w:rPr>
        <w:t>wniosk</w:t>
      </w:r>
      <w:proofErr w:type="spellEnd"/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w o dofinansowanie</w:t>
      </w:r>
    </w:p>
    <w:p w:rsidR="0013735D" w:rsidRDefault="004B7B7B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Wniosek o dofinansowanie należy złożyć wyłącznie w wersji elektronicznej za pośrednictwem GW</w:t>
      </w:r>
      <w:r>
        <w:rPr>
          <w:rStyle w:val="cze"/>
          <w:rFonts w:ascii="Calibri" w:hAnsi="Calibri"/>
          <w:color w:val="000000"/>
          <w:u w:val="none" w:color="000000"/>
        </w:rPr>
        <w:t xml:space="preserve">, </w:t>
      </w:r>
      <w:r>
        <w:rPr>
          <w:rFonts w:ascii="Calibri" w:hAnsi="Calibri"/>
        </w:rPr>
        <w:t xml:space="preserve">z zastrzeżeniem ust. 11. Wniosek o dofinansowanie należy sporządzić zgodnie z </w:t>
      </w:r>
      <w:r>
        <w:rPr>
          <w:rFonts w:ascii="Calibri" w:hAnsi="Calibri"/>
          <w:i/>
          <w:iCs/>
        </w:rPr>
        <w:t>Instrukcją wypełniania wniosku o dofinansowanie projektu</w:t>
      </w:r>
      <w:r>
        <w:rPr>
          <w:rFonts w:ascii="Calibri" w:hAnsi="Calibri"/>
        </w:rPr>
        <w:t xml:space="preserve"> stanowiącą załącznik nr 3 do regulaminu. Wszelkie inne formy elektronicznej lub papierowej wizualizacji treści wniosku nie stanowią wniosku o dofinansowanie i nie będą podlegać ocenie.</w:t>
      </w:r>
    </w:p>
    <w:p w:rsidR="0013735D" w:rsidRDefault="004B7B7B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Wniosek o dofinansowanie powinien zostać sporządzony w języku polskim, zgodnie z art. 5 ustawy z dnia 7 października 1999 r. o języku polskim (Dz. U. z 201</w:t>
      </w:r>
      <w:r w:rsidR="00E50AF3">
        <w:rPr>
          <w:rFonts w:ascii="Calibri" w:hAnsi="Calibri"/>
        </w:rPr>
        <w:t>9</w:t>
      </w:r>
      <w:r>
        <w:rPr>
          <w:rFonts w:ascii="Calibri" w:hAnsi="Calibri"/>
        </w:rPr>
        <w:t xml:space="preserve"> r. poz. </w:t>
      </w:r>
      <w:r w:rsidR="00E50AF3">
        <w:rPr>
          <w:rFonts w:ascii="Calibri" w:hAnsi="Calibri"/>
        </w:rPr>
        <w:t>1480</w:t>
      </w:r>
      <w:r>
        <w:rPr>
          <w:rFonts w:ascii="Calibri" w:hAnsi="Calibri"/>
        </w:rPr>
        <w:t xml:space="preserve">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 z wyjątkiem użycia obcojęzycznych nazw własnych lub pojedynczych wyrażeń w języku obcym. Dokumenty sporządzone w języku obcym powinny zostać przetłumaczone na język polski przez tłumacza przysięgłego.</w:t>
      </w:r>
    </w:p>
    <w:p w:rsidR="0013735D" w:rsidRDefault="004B7B7B">
      <w:pPr>
        <w:pStyle w:val="Akapitzlist"/>
        <w:numPr>
          <w:ilvl w:val="0"/>
          <w:numId w:val="4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Złożenie wniosku o dofinansowanie w GW będzie możliwe w okresie naboru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o dofinansowanie,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3 ust. 3.</w:t>
      </w:r>
    </w:p>
    <w:p w:rsidR="0013735D" w:rsidRDefault="004B7B7B">
      <w:pPr>
        <w:pStyle w:val="Akapitzlist"/>
        <w:numPr>
          <w:ilvl w:val="0"/>
          <w:numId w:val="4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Złożenie wniosku o dofinansowanie możliwe będzie wyłącznie przez wnioskodawcę,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</w:t>
      </w:r>
      <w:proofErr w:type="spellEnd"/>
      <w:r>
        <w:rPr>
          <w:rFonts w:ascii="Calibri" w:hAnsi="Calibri"/>
        </w:rPr>
        <w:t xml:space="preserve"> w GW oświadczy, że:</w:t>
      </w:r>
    </w:p>
    <w:p w:rsidR="0013735D" w:rsidRDefault="004B7B7B">
      <w:pPr>
        <w:pStyle w:val="Akapitzlist"/>
        <w:numPr>
          <w:ilvl w:val="1"/>
          <w:numId w:val="4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zapoznał się z regulaminem konkursu i akceptuje jego zasady; </w:t>
      </w:r>
    </w:p>
    <w:p w:rsidR="0013735D" w:rsidRDefault="004B7B7B">
      <w:pPr>
        <w:pStyle w:val="Akapitzlist"/>
        <w:numPr>
          <w:ilvl w:val="1"/>
          <w:numId w:val="4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jest świadomy </w:t>
      </w:r>
      <w:proofErr w:type="spellStart"/>
      <w:r>
        <w:rPr>
          <w:rFonts w:ascii="Calibri" w:hAnsi="Calibri"/>
        </w:rPr>
        <w:t>skutk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niezachowania wskazanej w regulaminie konkursu formy komunikacji.</w:t>
      </w:r>
    </w:p>
    <w:p w:rsidR="0013735D" w:rsidRDefault="004B7B7B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Data i czas wygenerowane przez GW po naciśnięciu przycisku „Złóż” są </w:t>
      </w:r>
      <w:r>
        <w:rPr>
          <w:rFonts w:ascii="Calibri" w:hAnsi="Calibri"/>
          <w:lang w:val="nl-NL"/>
        </w:rPr>
        <w:t>dat</w:t>
      </w:r>
      <w:r>
        <w:rPr>
          <w:rFonts w:ascii="Calibri" w:hAnsi="Calibri"/>
        </w:rPr>
        <w:t xml:space="preserve">ą i czasem </w:t>
      </w:r>
      <w:r>
        <w:rPr>
          <w:rFonts w:ascii="Calibri" w:hAnsi="Calibri"/>
          <w:b/>
          <w:bCs/>
        </w:rPr>
        <w:t xml:space="preserve">złożenia wniosku o dofinansowanie, </w:t>
      </w:r>
      <w:r>
        <w:rPr>
          <w:rFonts w:ascii="Calibri" w:hAnsi="Calibri"/>
        </w:rPr>
        <w:t>odnotowywanymi przez serwer PARP.</w:t>
      </w:r>
    </w:p>
    <w:p w:rsidR="0013735D" w:rsidRDefault="004B7B7B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Wnioski o dofinansowanie mogą być składane nie później niż w terminie do 6 miesięcy od daty otrzymania informacji o zatwierdzeniu strategii wzorniczej opracowanej w ramach Etapu I. W przypadku negatywnej oceny wniosku lub pozostawienia wniosku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 bez rozpatrzenia wnioskodawca ma możliwość złożenia poprawionego wniosku nie później niż:</w:t>
      </w:r>
    </w:p>
    <w:p w:rsidR="0013735D" w:rsidRDefault="004B7B7B">
      <w:pPr>
        <w:pStyle w:val="Akapitzlist"/>
        <w:numPr>
          <w:ilvl w:val="1"/>
          <w:numId w:val="4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terminie do 10 miesięcy od daty otrzymania informacji o zatwierdzeniu strategii wzorniczej opracowanej w ramach Etapu I (dotyczy jedynie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złożonych w ramach I, II oraz III rundy konkursu) lub,</w:t>
      </w:r>
    </w:p>
    <w:p w:rsidR="0013735D" w:rsidRDefault="004B7B7B">
      <w:pPr>
        <w:pStyle w:val="Akapitzlist"/>
        <w:numPr>
          <w:ilvl w:val="1"/>
          <w:numId w:val="4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terminie do 2 miesięcy od daty otrzymania informacji o wynikach oceny projektu,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§ 11 ust. 1 regulaminu lub informacji o pozostawieniu wniosku o dofinansowanie bez rozpatrzenia (dotyczy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złożonych w ramach IV, V, VI, VII, VIII i IX rundy konkursu).</w:t>
      </w:r>
    </w:p>
    <w:p w:rsidR="0013735D" w:rsidRDefault="004B7B7B">
      <w:pPr>
        <w:spacing w:after="120" w:line="276" w:lineRule="auto"/>
        <w:ind w:left="426"/>
        <w:rPr>
          <w:rFonts w:ascii="Calibri" w:eastAsia="Calibri" w:hAnsi="Calibri" w:cs="Calibri"/>
        </w:rPr>
      </w:pPr>
      <w:r>
        <w:rPr>
          <w:rFonts w:ascii="Calibri" w:hAnsi="Calibri"/>
        </w:rPr>
        <w:t>W przypadku złożenia wniosku o dofinansowanie z przekroczeniem ww. termin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wniosek będzie pozostawiony bez rozpatrzenia i, w konsekwencji, nie zostanie dopuszczony do oceny spełnienia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w. </w:t>
      </w:r>
    </w:p>
    <w:p w:rsidR="0013735D" w:rsidRDefault="004B7B7B">
      <w:pPr>
        <w:pStyle w:val="Akapitzlist"/>
        <w:numPr>
          <w:ilvl w:val="0"/>
          <w:numId w:val="4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nie może złożyć wniosku o dofinansowanie dla projektu będącego przedmiotem oceny w ramach konkursu. W przeciwnym przypadku PARP wzywa wnioskodawcę do wycofania pozostałych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w. Wnioskodawca powinien wycofać pozostałe wnioski o dofinansowanie w terminie 7 dni od dnia następującego po dniu wysłania przez PARP informacji o wezwaniu. W przypadku braku wycofania pozostałych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 dofinansowanie, ocenie będzie podlegał wniosek złożony jako pierwszy. Pozostałe wnioski zostaną pozostawione bez rozpatrzenia i, w konsekwencji, nie zostaną dopuszczone do oceny spełnienia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w.</w:t>
      </w:r>
    </w:p>
    <w:p w:rsidR="0013735D" w:rsidRDefault="004B7B7B">
      <w:pPr>
        <w:pStyle w:val="Akapitzlist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nie może złożyć wniosku o dofinansowanie dla projektu będącego przedmiotem procedury odwoławczej lub postępowania </w:t>
      </w:r>
      <w:proofErr w:type="spellStart"/>
      <w:r>
        <w:rPr>
          <w:rFonts w:ascii="Calibri" w:hAnsi="Calibri"/>
        </w:rPr>
        <w:t>sądowoadministracyjnego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Rozdziale 15 ustawy wdrożeniowej. W przeciwnym przypadku wniosek o dofinansowanie zostanie pozostawiony bez rozpatrzenia i, w konsekwencji, nie zostanie dopuszczony do oceny spełnienia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w.</w:t>
      </w:r>
    </w:p>
    <w:p w:rsidR="0013735D" w:rsidRDefault="004B7B7B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ma możliwość wycofania wniosku o dofinansowanie. W takim przypadku wnioskodawca wycofuje wniosek w GW oraz załącza skan pisma o wycofaniu wniosku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o dofinansowanie podpisanego zgodnie z zasadami reprezentowania wnioskodawcy. Datą wycofania wniosku jest data zarejestrowana przez GW. </w:t>
      </w:r>
    </w:p>
    <w:p w:rsidR="0013735D" w:rsidRDefault="004B7B7B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Wnioskodawca dołącza w GW wersje elektroniczne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zgodnie z Instrukcją wypełniania wniosku o dofinansowanie (wielkość pojedynczego załącznika nie powinna przekraczać </w:t>
      </w:r>
      <w:r>
        <w:rPr>
          <w:rFonts w:ascii="Calibri" w:hAnsi="Calibri"/>
          <w:lang w:val="de-DE"/>
        </w:rPr>
        <w:t xml:space="preserve">15 MB). </w:t>
      </w:r>
    </w:p>
    <w:p w:rsidR="0013735D" w:rsidRDefault="004B7B7B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zidentyfikowanych przez wnioskodawcę problem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 dołączaniem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GW, wnioskodawca zgłasza problemy za pomocą formularza,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13 pkt 1. PARP, uwzględniając zgłoszenie, może wskazać jako uprawnioną </w:t>
      </w:r>
      <w:r>
        <w:rPr>
          <w:rFonts w:ascii="Calibri" w:hAnsi="Calibri"/>
          <w:lang w:val="en-US"/>
        </w:rPr>
        <w:t>form</w:t>
      </w:r>
      <w:r>
        <w:rPr>
          <w:rFonts w:ascii="Calibri" w:hAnsi="Calibri"/>
        </w:rPr>
        <w:t>ę złożenia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en-US"/>
        </w:rPr>
        <w:t>w form</w:t>
      </w:r>
      <w:r>
        <w:rPr>
          <w:rFonts w:ascii="Calibri" w:hAnsi="Calibri"/>
        </w:rPr>
        <w:t xml:space="preserve">ę papierową </w:t>
      </w:r>
      <w:proofErr w:type="spellStart"/>
      <w:r>
        <w:rPr>
          <w:rFonts w:ascii="Calibri" w:hAnsi="Calibri"/>
          <w:lang w:val="en-US"/>
        </w:rPr>
        <w:t>lub</w:t>
      </w:r>
      <w:proofErr w:type="spellEnd"/>
      <w:r>
        <w:rPr>
          <w:rFonts w:ascii="Calibri" w:hAnsi="Calibri"/>
          <w:lang w:val="en-US"/>
        </w:rPr>
        <w:t xml:space="preserve"> form</w:t>
      </w:r>
      <w:r>
        <w:rPr>
          <w:rFonts w:ascii="Calibri" w:hAnsi="Calibri"/>
        </w:rPr>
        <w:t xml:space="preserve">ę elektroniczną </w:t>
      </w:r>
      <w:r>
        <w:rPr>
          <w:rFonts w:ascii="Calibri" w:hAnsi="Calibri"/>
          <w:lang w:val="it-IT"/>
        </w:rPr>
        <w:t>na no</w:t>
      </w:r>
      <w:proofErr w:type="spellStart"/>
      <w:r>
        <w:rPr>
          <w:rFonts w:ascii="Calibri" w:hAnsi="Calibri"/>
        </w:rPr>
        <w:t>śniku</w:t>
      </w:r>
      <w:proofErr w:type="spellEnd"/>
      <w:r>
        <w:rPr>
          <w:rFonts w:ascii="Calibri" w:hAnsi="Calibri"/>
        </w:rPr>
        <w:t xml:space="preserve"> danych (np. CD, DVD). Informacja w tym zakresie jest kierowana do wnioskodawcy na adres poczty elektronicznej wskazany przez wnioskodawcę w zgłoszeniu.</w:t>
      </w:r>
    </w:p>
    <w:p w:rsidR="0013735D" w:rsidRDefault="004B7B7B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Złożenie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spos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11, powinno nastąpić w terminie 2 dni roboczych od dnia złożenia wniosku o dofinansowanie w GW.</w:t>
      </w:r>
    </w:p>
    <w:p w:rsidR="0013735D" w:rsidRDefault="004B7B7B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przypadku stwierdzenia </w:t>
      </w:r>
      <w:proofErr w:type="spellStart"/>
      <w:r>
        <w:rPr>
          <w:rFonts w:ascii="Calibri" w:hAnsi="Calibri"/>
        </w:rPr>
        <w:t>błęd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związanych z funkcjonowaniem GW wnioskodawca:</w:t>
      </w:r>
    </w:p>
    <w:p w:rsidR="0013735D" w:rsidRDefault="004B7B7B">
      <w:pPr>
        <w:numPr>
          <w:ilvl w:val="1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powinien dokonać zgłoszenia </w:t>
      </w:r>
      <w:proofErr w:type="spellStart"/>
      <w:r>
        <w:rPr>
          <w:rFonts w:ascii="Calibri" w:hAnsi="Calibri"/>
        </w:rPr>
        <w:t>błęd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za pomocą formularza dostępnego w GW, zaś w przypadku awarii tego formularza;</w:t>
      </w:r>
    </w:p>
    <w:p w:rsidR="0013735D" w:rsidRDefault="004B7B7B">
      <w:pPr>
        <w:numPr>
          <w:ilvl w:val="1"/>
          <w:numId w:val="4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jest zobowiązany skontaktować się z PARP za pośrednictwem formularza kontaktowego zamieszczonego na stronie działania, </w:t>
      </w:r>
    </w:p>
    <w:p w:rsidR="0013735D" w:rsidRDefault="004B7B7B">
      <w:pPr>
        <w:spacing w:after="120" w:line="276" w:lineRule="auto"/>
        <w:ind w:left="426"/>
        <w:rPr>
          <w:rFonts w:ascii="Calibri" w:eastAsia="Calibri" w:hAnsi="Calibri" w:cs="Calibri"/>
        </w:rPr>
      </w:pPr>
      <w:r>
        <w:rPr>
          <w:rFonts w:ascii="Calibri" w:hAnsi="Calibri"/>
        </w:rPr>
        <w:t>pod rygorem pozostawienia zgłoszenia bez rozpatrzenia.</w:t>
      </w:r>
    </w:p>
    <w:p w:rsidR="0013735D" w:rsidRDefault="004B7B7B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:rsidR="0013735D" w:rsidRDefault="004B7B7B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Pozytywne rozpatrzenie zgłoszenia,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13, możliwe jest jedynie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przypadku, gdy problemy związane z wadliwym funkcjonowaniem GW nie leżą po stronie wnioskodawcy.</w:t>
      </w:r>
    </w:p>
    <w:p w:rsidR="0013735D" w:rsidRDefault="004B7B7B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razie wystąpienia długotrwałych problem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technicznych uniemożliwiających składanie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za pomocą GW, należy stosować się do komunikat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zamieszczanych na stronie internetowej PARP.</w:t>
      </w:r>
    </w:p>
    <w:p w:rsidR="0013735D" w:rsidRDefault="004B7B7B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Wnioski o dofinansowanie,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 nie zostały złożone zgodnie z § 4 ust. 1, PARP przechowuje w swoim systemie informatycznym przez okres 12 miesięcy od dnia zakończenia naboru w danym konkursie. Po upływie ww. terminu wnioski zostaną trwale </w:t>
      </w:r>
      <w:proofErr w:type="spellStart"/>
      <w:r>
        <w:rPr>
          <w:rFonts w:ascii="Calibri" w:hAnsi="Calibri"/>
        </w:rPr>
        <w:t>usunię</w:t>
      </w:r>
      <w:proofErr w:type="spellEnd"/>
      <w:r>
        <w:rPr>
          <w:rFonts w:ascii="Calibri" w:hAnsi="Calibri"/>
          <w:lang w:val="it-IT"/>
        </w:rPr>
        <w:t>te.</w:t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 xml:space="preserve">§ 7. Warunki formalne i oczywiste omyłki - </w:t>
      </w:r>
      <w:proofErr w:type="spellStart"/>
      <w:r>
        <w:rPr>
          <w:rFonts w:ascii="Calibri" w:hAnsi="Calibri"/>
          <w:color w:val="000000"/>
          <w:u w:color="000000"/>
        </w:rPr>
        <w:t>spos</w:t>
      </w:r>
      <w:proofErr w:type="spellEnd"/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b ich uzupełniania lub poprawiania</w:t>
      </w:r>
    </w:p>
    <w:p w:rsidR="0013735D" w:rsidRDefault="004B7B7B">
      <w:pPr>
        <w:pStyle w:val="Akapitzlist"/>
        <w:numPr>
          <w:ilvl w:val="0"/>
          <w:numId w:val="4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ramach </w:t>
      </w:r>
      <w:proofErr w:type="spellStart"/>
      <w:r>
        <w:rPr>
          <w:rFonts w:ascii="Calibri" w:hAnsi="Calibri"/>
        </w:rPr>
        <w:t>warunk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formalnych ustalane jest czy: </w:t>
      </w:r>
    </w:p>
    <w:p w:rsidR="0013735D" w:rsidRDefault="004B7B7B">
      <w:pPr>
        <w:pStyle w:val="Akapitzlist"/>
        <w:numPr>
          <w:ilvl w:val="0"/>
          <w:numId w:val="5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wszystkie pola wniosku o dofinansowanie wymagane Instrukcją wypełniania wniosku o dofinansowanie projektu zostały </w:t>
      </w:r>
      <w:proofErr w:type="spellStart"/>
      <w:r>
        <w:rPr>
          <w:rFonts w:ascii="Calibri" w:hAnsi="Calibri"/>
        </w:rPr>
        <w:t>wypeł</w:t>
      </w:r>
      <w:proofErr w:type="spellEnd"/>
      <w:r>
        <w:rPr>
          <w:rFonts w:ascii="Calibri" w:hAnsi="Calibri"/>
          <w:lang w:val="it-IT"/>
        </w:rPr>
        <w:t xml:space="preserve">nione; </w:t>
      </w:r>
    </w:p>
    <w:p w:rsidR="0013735D" w:rsidRDefault="004B7B7B">
      <w:pPr>
        <w:pStyle w:val="Akapitzlist"/>
        <w:numPr>
          <w:ilvl w:val="0"/>
          <w:numId w:val="5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wniosek zawiera wszystkie wymagane załączniki, sporządzone na właściwym wzorze, kompletne i czytelne;</w:t>
      </w:r>
    </w:p>
    <w:p w:rsidR="0013735D" w:rsidRDefault="004B7B7B">
      <w:pPr>
        <w:pStyle w:val="Akapitzlist"/>
        <w:numPr>
          <w:ilvl w:val="0"/>
          <w:numId w:val="5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informacje zawarte we wniosku o dofinansowanie są zgodne z danymi rejestrowymi wnioskodawcy w Krajowym Rejestrze Sądowym lub Centralnej Ewidencji i Informacji o Działalności Gospodarczej według stanu na dzień złożenia wniosku o dofinansowanie w GW;</w:t>
      </w:r>
    </w:p>
    <w:p w:rsidR="0013735D" w:rsidRDefault="004B7B7B">
      <w:pPr>
        <w:pStyle w:val="Akapitzlist"/>
        <w:numPr>
          <w:ilvl w:val="0"/>
          <w:numId w:val="5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 zastrzeżeniem konieczności zachowania terminu rozstrzygnięcia rundy konkursu,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11 ust. 4, w przypadku stwierdzenia we wniosku o dofinansowanie:</w:t>
      </w:r>
    </w:p>
    <w:p w:rsidR="0013735D" w:rsidRDefault="004B7B7B">
      <w:pPr>
        <w:pStyle w:val="Akapitzlist"/>
        <w:numPr>
          <w:ilvl w:val="0"/>
          <w:numId w:val="5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brak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zakresie </w:t>
      </w:r>
      <w:proofErr w:type="spellStart"/>
      <w:r>
        <w:rPr>
          <w:rFonts w:ascii="Calibri" w:hAnsi="Calibri"/>
        </w:rPr>
        <w:t>warunk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formalnych - PARP wzywa wnioskodawcę do ich uzupełnienia. W takim przypadku informację o wezwaniu do uzupełnienia w GW, PARP kieruje na adres poczty elektronicznej wnioskodawcy. Wnioskodawca powinien uzupełnić braki w zakresie </w:t>
      </w:r>
      <w:proofErr w:type="spellStart"/>
      <w:r>
        <w:rPr>
          <w:rFonts w:ascii="Calibri" w:hAnsi="Calibri"/>
        </w:rPr>
        <w:t>warunk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formalnych w terminie 7 dni od dnia następującego po dniu wysłania przez PARP informacji o wezwaniu;</w:t>
      </w:r>
    </w:p>
    <w:p w:rsidR="0013735D" w:rsidRDefault="004B7B7B">
      <w:pPr>
        <w:pStyle w:val="Akapitzlist"/>
        <w:numPr>
          <w:ilvl w:val="0"/>
          <w:numId w:val="5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oczywistych omyłek - PARP może je poprawić bez konieczności wzywania wnioskodawcy do ich poprawienia (w takim przypadku PARP poprawia omyłkę </w:t>
      </w:r>
      <w:r>
        <w:rPr>
          <w:rFonts w:ascii="Calibri" w:hAnsi="Calibri"/>
        </w:rPr>
        <w:br/>
        <w:t xml:space="preserve">z urzędu i informuje o tym wnioskodawcę na adres poczty elektronicznej wnioskodawcy) albo wezwać wnioskodawcę do ich poprawienia z zastosowaniem trybu,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pkt 1.</w:t>
      </w:r>
    </w:p>
    <w:p w:rsidR="0013735D" w:rsidRDefault="004B7B7B">
      <w:pPr>
        <w:numPr>
          <w:ilvl w:val="0"/>
          <w:numId w:val="5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PARP określa zakres niezbędnego uzupełnienia oraz wskazuje omyłki do poprawienia. Wnioskodawca jest zobowiązany do uzupełnienia lub poprawienia wniosku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 wyłącznie w zakresie wskazanym w wezwaniu, przy czym niedopuszczalne jest wprowadzenie zmian innych niż wskazane w wezwaniu.</w:t>
      </w:r>
    </w:p>
    <w:p w:rsidR="0013735D" w:rsidRDefault="004B7B7B">
      <w:pPr>
        <w:numPr>
          <w:ilvl w:val="0"/>
          <w:numId w:val="5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po uzupełnieniu lub poprawieniu wniosku o dofinansowanie zgodnie z wezwaniem,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3, jest zobowiązany wysłać wprowadzone zmiany  poprzez naciśnięcie w GW przycisku „Wyślij”. W przypadku gdy wnioskodawca nie wyśle wprowadzonych zmian w opisany powyżej </w:t>
      </w:r>
      <w:proofErr w:type="spellStart"/>
      <w:r>
        <w:rPr>
          <w:rFonts w:ascii="Calibri" w:hAnsi="Calibri"/>
        </w:rPr>
        <w:t>spos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b, zostaną one automatycznie zapisane i wysłane w GW w dniu upływu terminu wskazanego w wezwaniu,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3.</w:t>
      </w:r>
    </w:p>
    <w:p w:rsidR="0013735D" w:rsidRDefault="004B7B7B">
      <w:pPr>
        <w:numPr>
          <w:ilvl w:val="0"/>
          <w:numId w:val="5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rozstrzygnięcia, czy wniosek o dofinansowanie został uzupełniony lub poprawiony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terminie, decydująca jest:</w:t>
      </w:r>
    </w:p>
    <w:p w:rsidR="0013735D" w:rsidRDefault="004B7B7B">
      <w:pPr>
        <w:numPr>
          <w:ilvl w:val="0"/>
          <w:numId w:val="5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data złożenia nowej wersji wniosku o dofinansowanie w GW lub dołączenia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GW (data generowana jest przez system: po wysłaniu poprzez naciśnięcie w GW przycisku „Wyślij” lub automatycznie w przypadku niewysłania wprowadzonych zmian z dniem upływu terminu wskazanego w wezwaniu,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3) </w:t>
      </w:r>
    </w:p>
    <w:p w:rsidR="0013735D" w:rsidRDefault="004B7B7B">
      <w:pPr>
        <w:spacing w:after="120" w:line="276" w:lineRule="auto"/>
        <w:ind w:left="426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albo </w:t>
      </w:r>
    </w:p>
    <w:p w:rsidR="0013735D" w:rsidRDefault="004B7B7B">
      <w:pPr>
        <w:numPr>
          <w:ilvl w:val="0"/>
          <w:numId w:val="5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data nadania dokumentu </w:t>
      </w:r>
      <w:r>
        <w:rPr>
          <w:rFonts w:ascii="Calibri" w:hAnsi="Calibri"/>
          <w:b/>
          <w:bCs/>
        </w:rPr>
        <w:t>w polskiej plac</w:t>
      </w:r>
      <w:r>
        <w:rPr>
          <w:rFonts w:ascii="Calibri" w:hAnsi="Calibri"/>
          <w:b/>
          <w:bCs/>
          <w:lang w:val="es-ES_tradnl"/>
        </w:rPr>
        <w:t>ó</w:t>
      </w:r>
      <w:proofErr w:type="spellStart"/>
      <w:r>
        <w:rPr>
          <w:rFonts w:ascii="Calibri" w:hAnsi="Calibri"/>
          <w:b/>
          <w:bCs/>
        </w:rPr>
        <w:t>wce</w:t>
      </w:r>
      <w:proofErr w:type="spellEnd"/>
      <w:r>
        <w:rPr>
          <w:rFonts w:ascii="Calibri" w:hAnsi="Calibri"/>
          <w:b/>
          <w:bCs/>
        </w:rPr>
        <w:t xml:space="preserve"> pocztowej operatora wyznaczonego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hAnsi="Calibri"/>
          <w:b/>
          <w:bCs/>
        </w:rPr>
        <w:t xml:space="preserve">w rozumieniu ustawy z dnia 23 listopada 2012 r. – Prawo pocztowe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hAnsi="Calibri"/>
          <w:b/>
          <w:bCs/>
        </w:rPr>
        <w:t xml:space="preserve">(Dz.U. z 2018 r. poz. 2188, z </w:t>
      </w:r>
      <w:proofErr w:type="spellStart"/>
      <w:r>
        <w:rPr>
          <w:rFonts w:ascii="Calibri" w:hAnsi="Calibri"/>
          <w:b/>
          <w:bCs/>
        </w:rPr>
        <w:t>późn</w:t>
      </w:r>
      <w:proofErr w:type="spellEnd"/>
      <w:r>
        <w:rPr>
          <w:rFonts w:ascii="Calibri" w:hAnsi="Calibri"/>
          <w:b/>
          <w:bCs/>
        </w:rPr>
        <w:t>. zm.)</w:t>
      </w:r>
      <w:r>
        <w:rPr>
          <w:rFonts w:ascii="Calibri" w:hAnsi="Calibri"/>
        </w:rPr>
        <w:t xml:space="preserve"> (</w:t>
      </w:r>
      <w:r>
        <w:rPr>
          <w:rFonts w:ascii="Calibri" w:hAnsi="Calibri"/>
          <w:b/>
          <w:bCs/>
        </w:rPr>
        <w:t>tj. w plac</w:t>
      </w:r>
      <w:r>
        <w:rPr>
          <w:rFonts w:ascii="Calibri" w:hAnsi="Calibri"/>
          <w:b/>
          <w:bCs/>
          <w:lang w:val="es-ES_tradnl"/>
        </w:rPr>
        <w:t>ó</w:t>
      </w:r>
      <w:proofErr w:type="spellStart"/>
      <w:r>
        <w:rPr>
          <w:rFonts w:ascii="Calibri" w:hAnsi="Calibri"/>
          <w:b/>
          <w:bCs/>
        </w:rPr>
        <w:t>wce</w:t>
      </w:r>
      <w:proofErr w:type="spellEnd"/>
      <w:r>
        <w:rPr>
          <w:rFonts w:ascii="Calibri" w:hAnsi="Calibri"/>
          <w:b/>
          <w:bCs/>
        </w:rPr>
        <w:t xml:space="preserve"> Poczty Polskiej</w:t>
      </w:r>
      <w:r>
        <w:rPr>
          <w:rFonts w:ascii="Calibri" w:hAnsi="Calibri"/>
        </w:rPr>
        <w:t>) lub data widniejąca na pieczęci wpływu dokumentu dostarczonego do PARP (w przypadkach innych, niż nadanie dokumentu w plac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wce</w:t>
      </w:r>
      <w:proofErr w:type="spellEnd"/>
      <w:r>
        <w:rPr>
          <w:rFonts w:ascii="Calibri" w:hAnsi="Calibri"/>
        </w:rPr>
        <w:t xml:space="preserve"> Poczty Polskiej) w przypadku, gdy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związku z wystąpieniem okoliczności, określonych w § 6 ust. 11 nie jest możliwe złożenie załącznik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GW.</w:t>
      </w:r>
    </w:p>
    <w:p w:rsidR="0013735D" w:rsidRDefault="004B7B7B">
      <w:pPr>
        <w:numPr>
          <w:ilvl w:val="0"/>
          <w:numId w:val="5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Dopuszczalne jest </w:t>
      </w:r>
      <w:r>
        <w:rPr>
          <w:rFonts w:ascii="Calibri" w:hAnsi="Calibri"/>
          <w:b/>
          <w:bCs/>
        </w:rPr>
        <w:t>jednokrotne</w:t>
      </w:r>
      <w:r>
        <w:rPr>
          <w:rFonts w:ascii="Calibri" w:hAnsi="Calibri"/>
        </w:rPr>
        <w:t xml:space="preserve"> uzupełnienie lub poprawienie wniosku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 w zakresie wskazanym przez PARP w wezwaniu.</w:t>
      </w:r>
    </w:p>
    <w:p w:rsidR="0013735D" w:rsidRDefault="004B7B7B">
      <w:pPr>
        <w:numPr>
          <w:ilvl w:val="0"/>
          <w:numId w:val="5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Jeżeli wnioskodawca nie poprawi lub nie uzupełni wniosku o dofinansowanie we wskazanym w wezwaniu terminie lub zakresie lub wprowadzi we wniosku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o dofinansowanie zmiany inne, niż wskazane w wezwaniu, wniosek o dofinansowanie </w:t>
      </w:r>
      <w:r>
        <w:rPr>
          <w:rFonts w:ascii="Calibri" w:hAnsi="Calibri"/>
          <w:b/>
          <w:bCs/>
        </w:rPr>
        <w:t xml:space="preserve">zostanie pozostawiony bez rozpatrzenia i, w konsekwencji, nie zostanie dopuszczony do oceny spełnienia </w:t>
      </w:r>
      <w:proofErr w:type="spellStart"/>
      <w:r>
        <w:rPr>
          <w:rFonts w:ascii="Calibri" w:hAnsi="Calibri"/>
          <w:b/>
          <w:bCs/>
        </w:rPr>
        <w:t>kryteri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wyboru projekt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</w:t>
      </w:r>
      <w:r>
        <w:rPr>
          <w:rFonts w:ascii="Calibri" w:hAnsi="Calibri"/>
        </w:rPr>
        <w:t xml:space="preserve">. </w:t>
      </w:r>
    </w:p>
    <w:p w:rsidR="0013735D" w:rsidRDefault="004B7B7B">
      <w:pPr>
        <w:numPr>
          <w:ilvl w:val="0"/>
          <w:numId w:val="52"/>
        </w:numPr>
        <w:spacing w:after="120" w:line="276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PARP przechowuje w swoim systemie informatycznym wnioski o dofinansowanie pozostawione bez rozpatrzenia złożone w GW oraz wersje papierowe złożonych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lub nośniki danych (np. CD, DVD) do dnia 30 czerwca 2024 r.</w:t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 xml:space="preserve">§ 8. </w:t>
      </w:r>
      <w:proofErr w:type="spellStart"/>
      <w:r>
        <w:rPr>
          <w:rFonts w:ascii="Calibri" w:hAnsi="Calibri"/>
          <w:color w:val="000000"/>
          <w:u w:color="000000"/>
        </w:rPr>
        <w:t>Og</w:t>
      </w:r>
      <w:proofErr w:type="spellEnd"/>
      <w:r>
        <w:rPr>
          <w:rFonts w:ascii="Calibri" w:hAnsi="Calibri"/>
          <w:color w:val="000000"/>
          <w:u w:color="000000"/>
          <w:lang w:val="es-ES_tradnl"/>
        </w:rPr>
        <w:t>ó</w:t>
      </w:r>
      <w:proofErr w:type="spellStart"/>
      <w:r>
        <w:rPr>
          <w:rFonts w:ascii="Calibri" w:hAnsi="Calibri"/>
          <w:color w:val="000000"/>
          <w:u w:color="000000"/>
        </w:rPr>
        <w:t>lne</w:t>
      </w:r>
      <w:proofErr w:type="spellEnd"/>
      <w:r>
        <w:rPr>
          <w:rFonts w:ascii="Calibri" w:hAnsi="Calibri"/>
          <w:color w:val="000000"/>
          <w:u w:color="000000"/>
        </w:rPr>
        <w:t xml:space="preserve"> zasady dokonywania oceny projekt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 xml:space="preserve">w </w:t>
      </w:r>
      <w:proofErr w:type="spellStart"/>
      <w:r>
        <w:rPr>
          <w:rFonts w:ascii="Calibri" w:hAnsi="Calibri"/>
          <w:color w:val="000000"/>
          <w:u w:color="000000"/>
        </w:rPr>
        <w:t>w</w:t>
      </w:r>
      <w:proofErr w:type="spellEnd"/>
      <w:r>
        <w:rPr>
          <w:rFonts w:ascii="Calibri" w:hAnsi="Calibri"/>
          <w:color w:val="000000"/>
          <w:u w:color="000000"/>
        </w:rPr>
        <w:t xml:space="preserve"> konkursie</w:t>
      </w:r>
    </w:p>
    <w:p w:rsidR="0013735D" w:rsidRDefault="004B7B7B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Ocena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dokonywana jest w oparciu o kryteria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właściwe dla danego etapu oceny, określone w załączniku nr 1 do regulaminu na podstawie informacji zawartych we wniosku o dofinansowanie oraz informacji lub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4 (jeśli wnioskodawca był wezwany do ich złożenia), a także informacji udzielonych przez wnioskodawcę podczas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w. </w:t>
      </w:r>
    </w:p>
    <w:p w:rsidR="0013735D" w:rsidRDefault="004B7B7B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Ocena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dokonywana jest przez KOP.</w:t>
      </w:r>
    </w:p>
    <w:p w:rsidR="0013735D" w:rsidRDefault="004B7B7B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Ocena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trwa: </w:t>
      </w:r>
    </w:p>
    <w:p w:rsidR="0013735D" w:rsidRDefault="004B7B7B">
      <w:pPr>
        <w:pStyle w:val="Akapitzlist"/>
        <w:numPr>
          <w:ilvl w:val="0"/>
          <w:numId w:val="6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do 60 dni w przypadku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złożonych w ramach I, II oraz III rundy konkursu,</w:t>
      </w:r>
    </w:p>
    <w:p w:rsidR="0013735D" w:rsidRDefault="004B7B7B">
      <w:pPr>
        <w:pStyle w:val="Akapitzlist"/>
        <w:numPr>
          <w:ilvl w:val="0"/>
          <w:numId w:val="6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do 90 dni - w przypadku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złożonych w ramach IV, V, VI, VII, VIII, i IX rundy konkursu, </w:t>
      </w:r>
    </w:p>
    <w:p w:rsidR="0013735D" w:rsidRDefault="004B7B7B">
      <w:pPr>
        <w:spacing w:after="120" w:line="276" w:lineRule="auto"/>
        <w:ind w:left="491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liczonych od dnia zakończenia naboru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danej rundzie konkursu.</w:t>
      </w:r>
    </w:p>
    <w:p w:rsidR="0013735D" w:rsidRDefault="004B7B7B">
      <w:pPr>
        <w:numPr>
          <w:ilvl w:val="0"/>
          <w:numId w:val="6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przypadku gdy do oceny spełnienia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niezbędne okaże się złożenie przez wnioskodawcę dodatkowych informacji lub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innych, niż wymienione we wniosku o dofinansowanie, KOP </w:t>
      </w:r>
      <w:proofErr w:type="spellStart"/>
      <w:r>
        <w:rPr>
          <w:rFonts w:ascii="Calibri" w:hAnsi="Calibri"/>
        </w:rPr>
        <w:t>moż</w:t>
      </w:r>
      <w:proofErr w:type="spellEnd"/>
      <w:r>
        <w:rPr>
          <w:rFonts w:ascii="Calibri" w:hAnsi="Calibri"/>
          <w:lang w:val="nl-NL"/>
        </w:rPr>
        <w:t>e wezwa</w:t>
      </w:r>
      <w:r>
        <w:rPr>
          <w:rFonts w:ascii="Calibri" w:hAnsi="Calibri"/>
        </w:rPr>
        <w:t>ć wnioskodawcę do ich złożenia.</w:t>
      </w:r>
    </w:p>
    <w:p w:rsidR="0013735D" w:rsidRDefault="004B7B7B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Informację o wezwaniu umieszczonym w GW do złożenia dodatkowych informacji lub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4 KOP wysyła na adres poczty elektronicznej wnioskodawcy. Wnioskodawca jest zobowiązany do przekazania PARP wymaganych informacji lub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za pośrednictwem GW lub w inny </w:t>
      </w:r>
      <w:proofErr w:type="spellStart"/>
      <w:r>
        <w:rPr>
          <w:rFonts w:ascii="Calibri" w:hAnsi="Calibri"/>
        </w:rPr>
        <w:t>spos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wskazany w wezwaniu w terminie 5 dni roboczych od dnia następującego po dniu wysłania przez KOP informacji o wezwaniu (dla biegu tego terminu nie ma znaczenia dzień odebrania wezwania przez wnioskodawcę). Przesłane w terminie wskazanym w wezwaniu informacje lub dokumenty stają się częścią dokumentacji aplikacyjnej wnioskodawcy. Jeżeli wnioskodawca nie przekaże informacji lub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wyznaczonym terminie, ocena wniosku o dofinasowanie prowadzona jest przez KOP na podstawie posiadanych informacji.</w:t>
      </w:r>
    </w:p>
    <w:p w:rsidR="0013735D" w:rsidRDefault="004B7B7B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sprawdzenia czy wnioskodawca dochował terminu stosuje się odpowiednio zasady,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§ 7 ust. 5.</w:t>
      </w:r>
    </w:p>
    <w:p w:rsidR="0013735D" w:rsidRDefault="004B7B7B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Prawdziwość oświadczeń i danych zawartych we wniosku o dofinansowanie może zostać zweryfikowana w trakcie oceny, jak r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wnież</w:t>
      </w:r>
      <w:proofErr w:type="spellEnd"/>
      <w:r>
        <w:rPr>
          <w:rFonts w:ascii="Calibri" w:hAnsi="Calibri"/>
        </w:rPr>
        <w:t xml:space="preserve"> przed i po zawarciu umowy o dofinansowanie projektu. </w:t>
      </w:r>
    </w:p>
    <w:p w:rsidR="0013735D" w:rsidRDefault="004B7B7B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Wnioskodawca ma prawo dostępu do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związanych z oceną złożonego przez siebie wniosku o dofinansowanie, z zastrzeżeniem, że dane osobowe </w:t>
      </w:r>
      <w:proofErr w:type="spellStart"/>
      <w:r>
        <w:rPr>
          <w:rFonts w:ascii="Calibri" w:hAnsi="Calibri"/>
        </w:rPr>
        <w:t>członk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KOP dokonujących oceny nie podlegają ujawnieniu. </w:t>
      </w:r>
    </w:p>
    <w:p w:rsidR="0013735D" w:rsidRDefault="004B7B7B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PARP przechowuje w swoim systemie informatycznym wnioski o dofinansowanie złożone w GW,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 zostały ocenione negatywnie i, w stosunku do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nie został wniesiony protest oraz wersje papierowe złożonych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lub nośniki danych (np. CD, DVD) do 30 czerwca 2024 r.</w:t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9. Zasady dokonywania oceny</w:t>
      </w:r>
    </w:p>
    <w:p w:rsidR="0013735D" w:rsidRDefault="004B7B7B">
      <w:pPr>
        <w:numPr>
          <w:ilvl w:val="0"/>
          <w:numId w:val="66"/>
        </w:numPr>
        <w:spacing w:after="120" w:line="276" w:lineRule="auto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Ocena spe</w:t>
      </w:r>
      <w:proofErr w:type="spellStart"/>
      <w:r>
        <w:rPr>
          <w:rFonts w:ascii="Calibri" w:hAnsi="Calibri"/>
        </w:rPr>
        <w:t>łnienia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podzielona jest na dwa etapy.</w:t>
      </w:r>
    </w:p>
    <w:p w:rsidR="0013735D" w:rsidRDefault="004B7B7B">
      <w:pPr>
        <w:numPr>
          <w:ilvl w:val="0"/>
          <w:numId w:val="6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Ocena w ramach I etapu dokonywana jest przez KOP w formie niezależnej oceny projektu przez co najmniej </w:t>
      </w:r>
      <w:proofErr w:type="spellStart"/>
      <w:r>
        <w:rPr>
          <w:rFonts w:ascii="Calibri" w:hAnsi="Calibri"/>
        </w:rPr>
        <w:t>dw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członk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KOP.</w:t>
      </w:r>
    </w:p>
    <w:p w:rsidR="0013735D" w:rsidRDefault="004B7B7B">
      <w:pPr>
        <w:numPr>
          <w:ilvl w:val="0"/>
          <w:numId w:val="6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Ocena w ramach I etapu kończy się:</w:t>
      </w:r>
    </w:p>
    <w:p w:rsidR="0013735D" w:rsidRDefault="004B7B7B">
      <w:pPr>
        <w:numPr>
          <w:ilvl w:val="0"/>
          <w:numId w:val="6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skierowaniem wniosku o dofinansowanie do oceny w ramach II etapu – w przypadku spełnienia wszystkich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właściwych dla I etapu (ocena pozytywna), albo</w:t>
      </w:r>
    </w:p>
    <w:p w:rsidR="0013735D" w:rsidRDefault="004B7B7B">
      <w:pPr>
        <w:numPr>
          <w:ilvl w:val="0"/>
          <w:numId w:val="6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odrzuceniem wniosku o dofinansowanie – w przypadku niespełnienia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regokolwiek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z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właściwych dla I etapu (ocena negatywna).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 zakończeniu oceny w ramach I etapu PARP publikuje na swojej stronie internetowej listę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zakwalifikowanych do oceny w ramach II etapu. 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Ocena w ramach II etapu przeprowadzana jest przez KOP w formie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w.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Na II etapie oceny projekt może zostać cofnięty do oceny w ramach I etapu w celu przeprowadzenia ponownej weryfikacji spełniania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właściwych dla I etapu.</w:t>
      </w:r>
    </w:p>
    <w:p w:rsidR="0013735D" w:rsidRDefault="004B7B7B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Elementem oceny przeprowadzanej przez Panel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jest posiedzenie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 udziałem wnioskodawcy lub osobami upoważnionymi do reprezentowania wnioskodawcy w siedzibie PARP albo z wykorzystaniem </w:t>
      </w:r>
      <w:proofErr w:type="spellStart"/>
      <w:r>
        <w:rPr>
          <w:rFonts w:ascii="Calibri" w:hAnsi="Calibri"/>
        </w:rPr>
        <w:t>środk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komunikacji elektronicznej w rozumieniu art. 2 pkt 5 ustawy z dnia 18 lipca 2002 r. o świadczeniu usług drogą elektroniczną (Dz. U. z 2020 r. poz. 344) (tj. w formie wideokonferencji). Posiedzenie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 wykorzystaniem </w:t>
      </w:r>
      <w:proofErr w:type="spellStart"/>
      <w:r>
        <w:rPr>
          <w:rFonts w:ascii="Calibri" w:hAnsi="Calibri"/>
        </w:rPr>
        <w:t>środk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komunikacji elektronicznej może odbyć się w uzasadnionych przypadkach,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w przypadku wystąpienia zdarzeń o charakterze siły wyższej. Decyzję o formie, w jakiej odbędzie się posiedzenie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podejmuje PARP, o czym informuje wnioskodawcę w zawiadomieniu,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8. </w:t>
      </w:r>
    </w:p>
    <w:p w:rsidR="0013735D" w:rsidRDefault="004B7B7B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Zawiadomienie o terminie i formie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wraz z wezwaniem do obowiązkowego  udziału wysyłane jest na  adres poczty elektronicznej wnioskodawcy, na co najmniej 7 dni przed planowanym terminem posiedzenia. Brak udziału wnioskodawcy na posiedzeniu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wyznaczonym terminie i formie jest r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wnoznaczny</w:t>
      </w:r>
      <w:proofErr w:type="spellEnd"/>
      <w:r>
        <w:rPr>
          <w:rFonts w:ascii="Calibri" w:hAnsi="Calibri"/>
        </w:rPr>
        <w:t xml:space="preserve"> z wycofaniem wniosku o dofinansowanie.</w:t>
      </w:r>
    </w:p>
    <w:p w:rsidR="0013735D" w:rsidRDefault="004B7B7B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Wyznaczony termin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nie podlega zmianie, z wyjątkiem </w:t>
      </w:r>
      <w:proofErr w:type="spellStart"/>
      <w:r>
        <w:rPr>
          <w:rFonts w:ascii="Calibri" w:hAnsi="Calibri"/>
        </w:rPr>
        <w:t>przypadk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losowych - niezależnych od wnioskodawcy</w:t>
      </w:r>
      <w:r>
        <w:t xml:space="preserve"> </w:t>
      </w:r>
      <w:r>
        <w:rPr>
          <w:rFonts w:ascii="Calibri" w:hAnsi="Calibri"/>
        </w:rPr>
        <w:t>oraz zdarzeń o charakterze siły wyższej. Ponadto, na prośbę wnioskodawcy, PARP dopuszcza możliwość jednokrotnej zmiany terminu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zaplanowanego z wykorzystaniem </w:t>
      </w:r>
      <w:proofErr w:type="spellStart"/>
      <w:r>
        <w:rPr>
          <w:rFonts w:ascii="Calibri" w:hAnsi="Calibri"/>
        </w:rPr>
        <w:t>środk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komunikacji elektronicznej. W takich przypadkach PARP wyznacza nowy termin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 informuje o tym wnioskodawcę zgodnie z zasadami określonymi w ust. 8,, przy czym kolejny wyznaczony termin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nie może wpłynąć na termin rozstrzygnięcia,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11 ust. 4.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trakcie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omawiany jest projekt,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Wnioskodawca wyjaśnia te aspekty,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 budzą wątpliwości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w. Przewidywany czas trwania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wynosi 40 min. 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 stronie wnioskodawcy w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mogą wziąć udział maksymalnie 4 osoby, w tym co najmniej jedna osoba uprawniona do reprezentowania wnioskodawcy na podstawie dokumentu rejestrowego lub upoważniony pracownik wnioskodawcy. 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  <w:lang w:val="da-DK"/>
        </w:rPr>
      </w:pPr>
      <w:r>
        <w:rPr>
          <w:rFonts w:ascii="Calibri" w:hAnsi="Calibri"/>
          <w:lang w:val="da-DK"/>
        </w:rPr>
        <w:t>Panel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ma prawo zadawać pytania dotyczące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właściwych dla II etapu oceny, w tym zwłaszcza kryterium dotyczącego zdolności wnioskodawcy do sfinansowania projektu.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Przebieg posiedzenia Panelu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 udziałem wnioskodawcy jest rejestrowany (dźwięk lub dźwięk i wizja).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 może zapoznać się z nagraniem,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13, po rozstrzygnięciu konkursu,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10 ust. 4, wyłącznie w siedzibie PARP po złożeniu pisemnego wniosku o zapoznanie się z nagraniem. Osobami uprawnionymi do wysłuchania lub obejrzenia nagrania są osoby uprawnione do reprezentowania wnioskodawcy, prokurenci oraz upoważnieni przez wnioskodawcę pracownicy.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PARP </w:t>
      </w:r>
      <w:proofErr w:type="spellStart"/>
      <w:r>
        <w:rPr>
          <w:rFonts w:ascii="Calibri" w:hAnsi="Calibri"/>
          <w:lang w:val="en-US"/>
        </w:rPr>
        <w:t>mo</w:t>
      </w:r>
      <w:proofErr w:type="spellEnd"/>
      <w:r>
        <w:rPr>
          <w:rFonts w:ascii="Calibri" w:hAnsi="Calibri"/>
        </w:rPr>
        <w:t>ż</w:t>
      </w:r>
      <w:r>
        <w:rPr>
          <w:rFonts w:ascii="Calibri" w:hAnsi="Calibri"/>
          <w:lang w:val="nl-NL"/>
        </w:rPr>
        <w:t>e wezwa</w:t>
      </w:r>
      <w:r>
        <w:rPr>
          <w:rFonts w:ascii="Calibri" w:hAnsi="Calibri"/>
        </w:rPr>
        <w:t xml:space="preserve">ć wnioskodawcę do poprawy lub uzupełnienia wniosku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o dofinansowanie w zakresie podlegającym ocenie spełnienia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właściwych dla II etapu oceny, o ile możliwość taka została przewidziana dla danego kryterium w załączniku nr 1 do regulaminu.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przypadku,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15</w:t>
      </w:r>
      <w:r w:rsidR="00E50AF3">
        <w:rPr>
          <w:rFonts w:ascii="Calibri" w:hAnsi="Calibri"/>
        </w:rPr>
        <w:t>,</w:t>
      </w:r>
      <w:r>
        <w:rPr>
          <w:rFonts w:ascii="Calibri" w:hAnsi="Calibri"/>
        </w:rPr>
        <w:t xml:space="preserve"> PARP na adres poczty elektronicznej wnioskodawcy wysyła informację o wezwaniu w GW do poprawy lub uzupełnienia wniosku o dofinansowanie w terminie 5 dni roboczych od dnia następującego po dniu wysłania przez PARP informacji o wezwaniu (dla biegu tego terminu nie ma znaczenia dzień odebrania wezwania przez wnioskodawcę). 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Dla sprawdzenia czy wnioskodawca dochował terminu stosuje się odpowiednio zasady,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§ 7 ust. 5. 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ocenie II etapu możliwe jest jednokrotne dokonanie poprawy lub uzupełnień wniosku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o dofinansowanie w ramach danego kryterium. 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jest zobowiązany do poprawienia lub uzupełnienia wniosku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 wyłącznie w zakresie wskazanym w wezwaniu.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Jeżeli wnioskodawca nie poprawi lub nie uzupełni wniosku o dofinansowanie w terminie lub zakresie wskazanym w wezwaniu, ocena projektu prowadzona jest na podstawie złożonego wniosku o dofinansowanie.</w:t>
      </w:r>
    </w:p>
    <w:p w:rsidR="0013735D" w:rsidRDefault="004B7B7B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poprawionego lub uzupełnionego wniosku o dofinansowanie, gdy Panel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uzna za niekwalifikowalne:</w:t>
      </w:r>
    </w:p>
    <w:p w:rsidR="0013735D" w:rsidRDefault="004B7B7B">
      <w:pPr>
        <w:pStyle w:val="Akapitzlist"/>
        <w:numPr>
          <w:ilvl w:val="0"/>
          <w:numId w:val="7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mniej niż 10%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wskazanych przez wnioskodawcę jako kwalifikowalne we wniosku o dofinansowanie, rekomenduje wnioskodawcy przeniesienie tych </w:t>
      </w:r>
      <w:proofErr w:type="spellStart"/>
      <w:r>
        <w:rPr>
          <w:rFonts w:ascii="Calibri" w:hAnsi="Calibri"/>
        </w:rPr>
        <w:t>wydatk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do </w:t>
      </w:r>
      <w:proofErr w:type="spellStart"/>
      <w:r>
        <w:rPr>
          <w:rFonts w:ascii="Calibri" w:hAnsi="Calibri"/>
        </w:rPr>
        <w:t>wydatk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niekwalifikowalnych, </w:t>
      </w:r>
    </w:p>
    <w:p w:rsidR="0013735D" w:rsidRDefault="004B7B7B">
      <w:pPr>
        <w:numPr>
          <w:ilvl w:val="0"/>
          <w:numId w:val="7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10% lub więcej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wskazanych przez wnioskodawcę jako kwalifikowalne we wniosku o dofinansowanie, kryterium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„Wydatki w ramach projektu są kwalifikowalne, racjonalne i uzasadnione oraz wynikają bezpośrednio z Etapu I Działania 1.4 POPW” jest </w:t>
      </w:r>
      <w:proofErr w:type="spellStart"/>
      <w:r>
        <w:rPr>
          <w:rFonts w:ascii="Calibri" w:hAnsi="Calibri"/>
        </w:rPr>
        <w:t>niespeł</w:t>
      </w:r>
      <w:proofErr w:type="spellEnd"/>
      <w:r>
        <w:rPr>
          <w:rFonts w:ascii="Calibri" w:hAnsi="Calibri"/>
          <w:lang w:val="it-IT"/>
        </w:rPr>
        <w:t>nione.</w:t>
      </w:r>
    </w:p>
    <w:p w:rsidR="0013735D" w:rsidRDefault="004B7B7B">
      <w:pPr>
        <w:numPr>
          <w:ilvl w:val="0"/>
          <w:numId w:val="7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PARP wysyła na adres poczty elektronicznej wnioskodawcy, informację o wezwaniu  wnioskodawcy w GW do wyrażenia zgody na zmianę,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ust. 21 pkt 1 w terminie 3 dni roboczych od dnia następującego po dniu wysłania przez PARP wezwania (dla biegu tego terminu nie ma znaczenia dzień odebrania wezwania przez wnioskodawcę). Wyrażenie zgody następuje w formie pisemnej, poprzez załączenie w GW skanu pisma podpisanego zgodnie z zasadami reprezentowania wnioskodawcy. Korekta wniosku o dofinansowanie w zakresie koszt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uznanych za niekwalifikowalne dokonywana jest przez wnioskodawcę w GW po zakończeniu oceny, a przed zawarciem umowy o dofinansowanie projektu.</w:t>
      </w:r>
    </w:p>
    <w:p w:rsidR="0013735D" w:rsidRDefault="004B7B7B">
      <w:pPr>
        <w:numPr>
          <w:ilvl w:val="0"/>
          <w:numId w:val="7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Brak zgody wnioskodawcy lub brak odpowiedzi w terminie,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23 powoduje, że kryterium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„Wydatki w ramach projektu są kwalifikowalne, racjonalne i uzasadnione oraz wynikają bezpośrednio z Etapu I Działania 1.4 POPW” jest </w:t>
      </w:r>
      <w:proofErr w:type="spellStart"/>
      <w:r>
        <w:rPr>
          <w:rFonts w:ascii="Calibri" w:hAnsi="Calibri"/>
        </w:rPr>
        <w:t>niespeł</w:t>
      </w:r>
      <w:proofErr w:type="spellEnd"/>
      <w:r>
        <w:rPr>
          <w:rFonts w:ascii="Calibri" w:hAnsi="Calibri"/>
          <w:lang w:val="it-IT"/>
        </w:rPr>
        <w:t>nione.</w:t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10. Zasady ustalania wyniku oceny projekt</w:t>
      </w:r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w</w:t>
      </w:r>
    </w:p>
    <w:p w:rsidR="0013735D" w:rsidRDefault="004B7B7B">
      <w:pPr>
        <w:pStyle w:val="Akapitzlist"/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Projekt może zostać wybrany do dofinansowania, jeż</w:t>
      </w:r>
      <w:r>
        <w:rPr>
          <w:rFonts w:ascii="Calibri" w:hAnsi="Calibri"/>
          <w:lang w:val="it-IT"/>
        </w:rPr>
        <w:t>eli:</w:t>
      </w:r>
    </w:p>
    <w:p w:rsidR="0013735D" w:rsidRDefault="004B7B7B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spełnił kryteria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 uzyskał wymaganą liczbę punkt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oraz</w:t>
      </w:r>
    </w:p>
    <w:p w:rsidR="0013735D" w:rsidRDefault="004B7B7B">
      <w:pPr>
        <w:pStyle w:val="Akapitzlist"/>
        <w:numPr>
          <w:ilvl w:val="0"/>
          <w:numId w:val="79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kwota przeznaczona na dofinansowanie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konkursie,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§ 3 ust. 5 umożliwia wybranie go do dofinansowania.</w:t>
      </w:r>
    </w:p>
    <w:p w:rsidR="0013735D" w:rsidRDefault="004B7B7B">
      <w:pPr>
        <w:pStyle w:val="Akapitzlist"/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przypadku, gdy kwota </w:t>
      </w:r>
      <w:proofErr w:type="spellStart"/>
      <w:r>
        <w:rPr>
          <w:rFonts w:ascii="Calibri" w:hAnsi="Calibri"/>
        </w:rPr>
        <w:t>środk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przeznaczonych na dofinansowanie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konkursie,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§ 3 ust. 4 jest niewystarczająca na dofinansowanie wszystkich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1, PARP zwraca się do IZ o odpowiednie zwiększenie alokacji na konkurs.</w:t>
      </w:r>
    </w:p>
    <w:p w:rsidR="0013735D" w:rsidRDefault="004B7B7B">
      <w:pPr>
        <w:pStyle w:val="Akapitzlist"/>
        <w:numPr>
          <w:ilvl w:val="0"/>
          <w:numId w:val="8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 zakończeniu oceny wszystkich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ramach danej rundy konkursu PARP zatwierdza listę ocenionych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zawierającą przyznane oceny z wyróżnieniem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wybranych do dofinansowania, w ramach kwoty,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mowa w § 3 ust. 4. </w:t>
      </w:r>
    </w:p>
    <w:p w:rsidR="0013735D" w:rsidRDefault="004B7B7B">
      <w:pPr>
        <w:pStyle w:val="Akapitzlist"/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Zatwierdzenie przez PARP listy,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mowa w ust. 3, stanowi rozstrzygnięcie rundy konkursu. </w:t>
      </w:r>
    </w:p>
    <w:p w:rsidR="0013735D" w:rsidRDefault="004B7B7B">
      <w:pPr>
        <w:pStyle w:val="Nagwek1"/>
        <w:spacing w:before="240" w:after="240" w:line="276" w:lineRule="auto"/>
        <w:ind w:left="425" w:hanging="425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11. Informacja o przyznaniu dofinansowania</w:t>
      </w:r>
    </w:p>
    <w:p w:rsidR="0013735D" w:rsidRDefault="004B7B7B">
      <w:pPr>
        <w:numPr>
          <w:ilvl w:val="0"/>
          <w:numId w:val="8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Niezwłocznie po zakończeniu oceny, PARP informuje na piśmie każdego z </w:t>
      </w:r>
      <w:proofErr w:type="spellStart"/>
      <w:r>
        <w:rPr>
          <w:rFonts w:ascii="Calibri" w:hAnsi="Calibri"/>
        </w:rPr>
        <w:t>wnioskodawc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 wynikach oceny jego projektu wraz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uzasadnieniem oceny i podaniem liczby punkt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uzyskanych przez projekt. </w:t>
      </w:r>
    </w:p>
    <w:p w:rsidR="0013735D" w:rsidRDefault="004B7B7B">
      <w:pPr>
        <w:numPr>
          <w:ilvl w:val="0"/>
          <w:numId w:val="8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terminie 3 dni od rozstrzygnięcia rundy konkursu,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10 ust. 4, PARP publikuje na swojej stronie internetowej oraz na portalu listę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  <w:lang w:val="nl-NL"/>
        </w:rPr>
        <w:t>re spe</w:t>
      </w:r>
      <w:proofErr w:type="spellStart"/>
      <w:r>
        <w:rPr>
          <w:rFonts w:ascii="Calibri" w:hAnsi="Calibri"/>
        </w:rPr>
        <w:t>łniły</w:t>
      </w:r>
      <w:proofErr w:type="spellEnd"/>
      <w:r>
        <w:rPr>
          <w:rFonts w:ascii="Calibri" w:hAnsi="Calibri"/>
        </w:rPr>
        <w:t xml:space="preserve"> kryteria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 uzyskały wymaganą liczbę punkt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z wyróżnieniem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wybranych do dofinansowania.</w:t>
      </w:r>
    </w:p>
    <w:p w:rsidR="0013735D" w:rsidRDefault="004B7B7B">
      <w:pPr>
        <w:numPr>
          <w:ilvl w:val="0"/>
          <w:numId w:val="8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Informacja o negatywnej ocenie projektu zawiera pouczenie o możliwości wniesienia protestu zgodnie z Rozdziałem 15 ustawy wdrożeniowej.</w:t>
      </w:r>
    </w:p>
    <w:p w:rsidR="0013735D" w:rsidRDefault="004B7B7B">
      <w:pPr>
        <w:numPr>
          <w:ilvl w:val="0"/>
          <w:numId w:val="8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Przewidywany termin rozstrzygnięcia rundy konkursu,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§ 10 ust. 4, to:</w:t>
      </w:r>
    </w:p>
    <w:p w:rsidR="0013735D" w:rsidRDefault="004B7B7B">
      <w:pPr>
        <w:pStyle w:val="Akapitzlist"/>
        <w:numPr>
          <w:ilvl w:val="0"/>
          <w:numId w:val="8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75 dni w przypadku I, II oraz III rundy konkursu,</w:t>
      </w:r>
    </w:p>
    <w:p w:rsidR="0013735D" w:rsidRDefault="004B7B7B">
      <w:pPr>
        <w:pStyle w:val="Akapitzlist"/>
        <w:numPr>
          <w:ilvl w:val="0"/>
          <w:numId w:val="8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100 dni w przypadku IV, V, VI, VII, VIII i IX rundy konkursu,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liczonych od dnia zamknięcia naboru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danej rundzie konkursu.</w:t>
      </w:r>
    </w:p>
    <w:p w:rsidR="0013735D" w:rsidRDefault="004B7B7B">
      <w:pPr>
        <w:pStyle w:val="Nagwek1"/>
        <w:spacing w:before="240" w:after="240" w:line="276" w:lineRule="auto"/>
        <w:ind w:left="425" w:hanging="425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12. Warunki zawarcia umowy o dofinansowanie projektu</w:t>
      </w:r>
    </w:p>
    <w:p w:rsidR="0013735D" w:rsidRDefault="004B7B7B">
      <w:pPr>
        <w:pStyle w:val="Akapitzlist"/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Wraz z informacją o wyborze projektu do dofinansowania PARP wzywa na piśmie wnioskodawcę do dostarczenia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niezbędnych do zawarcia umowy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 projektu, wymienionych w załączniku nr 5 do regulaminu.</w:t>
      </w:r>
    </w:p>
    <w:p w:rsidR="0013735D" w:rsidRDefault="004B7B7B">
      <w:pPr>
        <w:pStyle w:val="Akapitzlist"/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dostarcza dokumenty niezbędne do zawarcia umowy o dofinansowanie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w terminie 7 dni od dnia doręczenia wezwania,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1. W przypadku niedostarczenia kompletnych co do formy i treści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</w:t>
      </w:r>
      <w:proofErr w:type="spellEnd"/>
      <w:r>
        <w:rPr>
          <w:rFonts w:ascii="Calibri" w:hAnsi="Calibri"/>
        </w:rPr>
        <w:t xml:space="preserve"> tym terminie, PARP może odm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wić zawarcia umowy o dofinansowanie.</w:t>
      </w:r>
    </w:p>
    <w:p w:rsidR="0013735D" w:rsidRDefault="004B7B7B">
      <w:pPr>
        <w:pStyle w:val="Akapitzlist"/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Przed zawarciem umowy o dofinansowanie projektu PARP dokona weryfikacji czy wnioskodawca może otrzymać dofinansowanie, w tym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</w:t>
      </w:r>
      <w:proofErr w:type="spellEnd"/>
      <w:r>
        <w:rPr>
          <w:rFonts w:ascii="Calibri" w:hAnsi="Calibri"/>
          <w:lang w:val="it-IT"/>
        </w:rPr>
        <w:t>ci:</w:t>
      </w:r>
    </w:p>
    <w:p w:rsidR="0013735D" w:rsidRDefault="004B7B7B">
      <w:pPr>
        <w:numPr>
          <w:ilvl w:val="0"/>
          <w:numId w:val="9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wystąpi do Ministra </w:t>
      </w:r>
      <w:proofErr w:type="spellStart"/>
      <w:r>
        <w:rPr>
          <w:rFonts w:ascii="Calibri" w:hAnsi="Calibri"/>
        </w:rPr>
        <w:t>Finans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informację czy rekomendowany do dofinansowania wnioskodawca nie jest podmiotem wykluczonym na podstawie art. 207 ustawy z dnia 27 sierpnia 2009 r. o finansach publicznych;</w:t>
      </w:r>
    </w:p>
    <w:p w:rsidR="0013735D" w:rsidRDefault="004B7B7B">
      <w:pPr>
        <w:numPr>
          <w:ilvl w:val="0"/>
          <w:numId w:val="9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potwierdzi, że wnioskodawca nie naruszył w </w:t>
      </w:r>
      <w:proofErr w:type="spellStart"/>
      <w:r>
        <w:rPr>
          <w:rFonts w:ascii="Calibri" w:hAnsi="Calibri"/>
        </w:rPr>
        <w:t>spos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 istotny umowy zawartej z PARP w związku z art. 6b ust. 3 pkt 3 lit. c ustawy o PARP;</w:t>
      </w:r>
    </w:p>
    <w:p w:rsidR="0013735D" w:rsidRDefault="004B7B7B">
      <w:pPr>
        <w:numPr>
          <w:ilvl w:val="0"/>
          <w:numId w:val="9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zweryfikuje status MŚP wnioskodawcy;</w:t>
      </w:r>
    </w:p>
    <w:p w:rsidR="0013735D" w:rsidRDefault="004B7B7B">
      <w:pPr>
        <w:numPr>
          <w:ilvl w:val="0"/>
          <w:numId w:val="9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zweryfikuje możliwości udzielenia pomocy publicznej lub pomocy </w:t>
      </w:r>
      <w:r>
        <w:rPr>
          <w:rFonts w:ascii="Calibri" w:hAnsi="Calibri"/>
          <w:i/>
          <w:iCs/>
          <w:lang w:val="pt-PT"/>
        </w:rPr>
        <w:t>de minimis.</w:t>
      </w:r>
    </w:p>
    <w:p w:rsidR="0013735D" w:rsidRDefault="004B7B7B">
      <w:pPr>
        <w:pStyle w:val="Akapitzlist"/>
        <w:numPr>
          <w:ilvl w:val="0"/>
          <w:numId w:val="9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Oświadczenie wnioskodawcy dotyczące aktualności danych i oświadczeń składane jest pod rygorem odpowiedzialności karnej za składanie fałszywych zeznań, z wyjątkiem oświadczenia,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art. 41 ust. 2 pkt 7c ustawy wdrożeniowej.</w:t>
      </w:r>
    </w:p>
    <w:p w:rsidR="0013735D" w:rsidRDefault="004B7B7B">
      <w:pPr>
        <w:pStyle w:val="Akapitzlist"/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Wraz z formularzem „Analiza zgodności projektu z polityką ochrony środowiska” wypełnionym zgodnie ze wzorem wskazanym w załączniku nr 6 do regulaminu, wnioskodawca jest zobowiązany do przedstawienia „zezwolenia na inwestycję”</w:t>
      </w:r>
      <w:r>
        <w:rPr>
          <w:rFonts w:ascii="Calibri" w:eastAsia="Calibri" w:hAnsi="Calibri" w:cs="Calibri"/>
          <w:vertAlign w:val="superscript"/>
        </w:rPr>
        <w:footnoteReference w:id="3"/>
      </w:r>
      <w:r>
        <w:rPr>
          <w:rFonts w:ascii="Calibri" w:hAnsi="Calibri"/>
        </w:rPr>
        <w:t xml:space="preserve">. </w:t>
      </w:r>
    </w:p>
    <w:p w:rsidR="0013735D" w:rsidRDefault="004B7B7B">
      <w:pPr>
        <w:pStyle w:val="Akapitzlist"/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braku możliwości przedłożenia w terminie określonym w ust. 2:</w:t>
      </w:r>
    </w:p>
    <w:p w:rsidR="0013735D" w:rsidRDefault="004B7B7B">
      <w:pPr>
        <w:numPr>
          <w:ilvl w:val="0"/>
          <w:numId w:val="9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„zezwolenia na inwestycję”,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5 lub</w:t>
      </w:r>
    </w:p>
    <w:p w:rsidR="0013735D" w:rsidRDefault="004B7B7B">
      <w:pPr>
        <w:numPr>
          <w:ilvl w:val="0"/>
          <w:numId w:val="9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potwierdzających uzyskanie zewnętrznego finansowania projektu lub</w:t>
      </w:r>
    </w:p>
    <w:p w:rsidR="0013735D" w:rsidRDefault="004B7B7B">
      <w:pPr>
        <w:numPr>
          <w:ilvl w:val="0"/>
          <w:numId w:val="93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sprawozdania finansowego za ostatni rok obrotowy sporządzonego zgodnie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z przepisami ustawy z dnia 29 września 1994 r. o rachunkowości (Dz. U. z 2019 r. poz. 351,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 potwierdzającego posiadanie deklarowanego przez wnioskodawcę we wniosku o dofinansowanie statusu odpowiednio </w:t>
      </w:r>
      <w:proofErr w:type="spellStart"/>
      <w:r>
        <w:rPr>
          <w:rFonts w:ascii="Calibri" w:hAnsi="Calibri"/>
        </w:rPr>
        <w:t>mikroprzedsiębiorcy</w:t>
      </w:r>
      <w:proofErr w:type="spellEnd"/>
      <w:r>
        <w:rPr>
          <w:rFonts w:ascii="Calibri" w:hAnsi="Calibri"/>
        </w:rPr>
        <w:t>, małego lub średniego przedsiębiorcy oraz potwierdzającego, że nie znajduje się on w trudnej sytuacji w rozumieniu unijnych przepis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dotyczących pomocy państwa</w:t>
      </w:r>
      <w:r>
        <w:rPr>
          <w:rFonts w:ascii="Calibri" w:eastAsia="Calibri" w:hAnsi="Calibri" w:cs="Calibri"/>
          <w:vertAlign w:val="superscript"/>
        </w:rPr>
        <w:footnoteReference w:id="4"/>
      </w:r>
      <w:r>
        <w:rPr>
          <w:rFonts w:ascii="Calibri" w:hAnsi="Calibri"/>
        </w:rPr>
        <w:t>.</w:t>
      </w:r>
    </w:p>
    <w:p w:rsidR="0013735D" w:rsidRDefault="004B7B7B">
      <w:pPr>
        <w:spacing w:after="120" w:line="276" w:lineRule="auto"/>
        <w:ind w:left="425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PARP </w:t>
      </w:r>
      <w:proofErr w:type="spellStart"/>
      <w:r>
        <w:rPr>
          <w:rFonts w:ascii="Calibri" w:hAnsi="Calibri"/>
          <w:lang w:val="en-US"/>
        </w:rPr>
        <w:t>mo</w:t>
      </w:r>
      <w:proofErr w:type="spellEnd"/>
      <w:r>
        <w:rPr>
          <w:rFonts w:ascii="Calibri" w:hAnsi="Calibri"/>
        </w:rPr>
        <w:t xml:space="preserve">że zawrzeć z wnioskodawcą </w:t>
      </w:r>
      <w:r>
        <w:rPr>
          <w:rFonts w:ascii="Calibri" w:hAnsi="Calibri"/>
          <w:b/>
          <w:bCs/>
        </w:rPr>
        <w:t xml:space="preserve">umowę warunkową, </w:t>
      </w:r>
      <w:r>
        <w:rPr>
          <w:rFonts w:ascii="Calibri" w:hAnsi="Calibri"/>
        </w:rPr>
        <w:t xml:space="preserve">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§ 3a wzoru umowy o dofinansowanie projektu.</w:t>
      </w:r>
    </w:p>
    <w:p w:rsidR="0013735D" w:rsidRDefault="004B7B7B">
      <w:pPr>
        <w:pStyle w:val="Akapitzlist"/>
        <w:numPr>
          <w:ilvl w:val="0"/>
          <w:numId w:val="9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umowie warunkowej,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mowa w ust. 6, wnioskodawca zostanie zobowiązany do dostarczenia „zezwolenia na inwestycję”,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5,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w terminie do 6 miesięcy od dnia doręczenia wezwania,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rym mowa w ust. 1.</w:t>
      </w:r>
    </w:p>
    <w:p w:rsidR="0013735D" w:rsidRDefault="004B7B7B">
      <w:pPr>
        <w:pStyle w:val="Akapitzlist"/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umowie warunkowej,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ust. 6 wnioskodawca zostanie zobowiązany do dostarczenia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potwierdzających uzyskanie zewnętrznego finansowania projektu w terminie do 3 miesięcy od dnia zawarcia umowy o dofinansowanie.</w:t>
      </w:r>
    </w:p>
    <w:p w:rsidR="0013735D" w:rsidRDefault="004B7B7B">
      <w:pPr>
        <w:pStyle w:val="Akapitzlist"/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umowie warunkowej,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mowa w ust. 6 wnioskodawca zostanie zobowiązany do dostarczenia sprawozdania finansowego w terminie 14 dni od upływu terminu przewidzianego na sporządzenie sprawozdania finansowego zgodnie z przepisami ustawy z dnia 29 września 1994 r. o rachunkowości.</w:t>
      </w:r>
    </w:p>
    <w:p w:rsidR="0013735D" w:rsidRDefault="004B7B7B">
      <w:pPr>
        <w:pStyle w:val="Akapitzlist"/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Po bezskutecznym upływie termin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na dostarczenie do PARP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7, 8 i 9, umowa warunkowa,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mowa w ust. 6, ulega rozwiązaniu.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przypadku, gdy dostarczenie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6, nie będzie możliwe w terminach,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odpowiednio w ust. 7, 8 i 9, beneficjent może, przed upływem tych termin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złożyć wniosek o wydłużenie terminu dostarczenia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wraz z uzasadnieniem. PARP może wydłużyć termin dostarczenia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 maksymalnie 90 dni. </w:t>
      </w:r>
    </w:p>
    <w:p w:rsidR="0013735D" w:rsidRDefault="004B7B7B">
      <w:pPr>
        <w:pStyle w:val="Akapitzlist"/>
        <w:numPr>
          <w:ilvl w:val="0"/>
          <w:numId w:val="9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PARP sprawdza kompletność oraz prawidłowość sporządzenia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dostarczonych przez wnioskodawcę,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1. </w:t>
      </w:r>
    </w:p>
    <w:p w:rsidR="0013735D" w:rsidRDefault="004B7B7B">
      <w:pPr>
        <w:pStyle w:val="Akapitzlist"/>
        <w:numPr>
          <w:ilvl w:val="0"/>
          <w:numId w:val="96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Umowa o dofinansowanie projektu zostanie zawarta jeż</w:t>
      </w:r>
      <w:r>
        <w:rPr>
          <w:rFonts w:ascii="Calibri" w:hAnsi="Calibri"/>
          <w:lang w:val="it-IT"/>
        </w:rPr>
        <w:t xml:space="preserve">eli: </w:t>
      </w:r>
    </w:p>
    <w:p w:rsidR="0013735D" w:rsidRDefault="004B7B7B">
      <w:pPr>
        <w:numPr>
          <w:ilvl w:val="0"/>
          <w:numId w:val="9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projekt został umieszczony na zatwierdzonej liście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wybranych do dofinansowania;</w:t>
      </w:r>
    </w:p>
    <w:p w:rsidR="0013735D" w:rsidRDefault="004B7B7B">
      <w:pPr>
        <w:numPr>
          <w:ilvl w:val="0"/>
          <w:numId w:val="9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dostarczył wszystkie dokumenty,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1,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zastrzeżeniem ust. 6;</w:t>
      </w:r>
    </w:p>
    <w:p w:rsidR="0013735D" w:rsidRDefault="004B7B7B">
      <w:pPr>
        <w:numPr>
          <w:ilvl w:val="0"/>
          <w:numId w:val="9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brak jest negatywnych przesłanek zawarcia umowy o dofinansowanie projektu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wyniku weryfikacji dokument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ust. 1;</w:t>
      </w:r>
    </w:p>
    <w:p w:rsidR="0013735D" w:rsidRDefault="004B7B7B">
      <w:pPr>
        <w:numPr>
          <w:ilvl w:val="0"/>
          <w:numId w:val="9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projekt spełnia wszystkie kryteria, na podstawie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został wybrany do dofinansowania.</w:t>
      </w:r>
    </w:p>
    <w:p w:rsidR="0013735D" w:rsidRDefault="004B7B7B">
      <w:pPr>
        <w:pStyle w:val="Akapitzlist"/>
        <w:numPr>
          <w:ilvl w:val="0"/>
          <w:numId w:val="99"/>
        </w:numPr>
        <w:spacing w:after="120" w:line="276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PARP </w:t>
      </w:r>
      <w:proofErr w:type="spellStart"/>
      <w:r>
        <w:rPr>
          <w:rFonts w:ascii="Calibri" w:hAnsi="Calibri"/>
          <w:lang w:val="en-US"/>
        </w:rPr>
        <w:t>mo</w:t>
      </w:r>
      <w:proofErr w:type="spellEnd"/>
      <w:r>
        <w:rPr>
          <w:rFonts w:ascii="Calibri" w:hAnsi="Calibri"/>
        </w:rPr>
        <w:t>że odm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wić udzielenia dofinansowania na podstawie art. 6b ust. 4 i 4a ustawy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lang w:val="pt-PT"/>
        </w:rPr>
        <w:t>o PARP.</w:t>
      </w:r>
    </w:p>
    <w:p w:rsidR="0013735D" w:rsidRDefault="004B7B7B">
      <w:pPr>
        <w:pStyle w:val="Akapitzlist"/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Przed zawarciem umowy o dofinansowanie projektu PARP może zweryfikować ryzyko wystąpienia nieprawidłowości w zakresie realizacji projektu, po analizie informacji na temat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realizowanych na podstawie </w:t>
      </w:r>
      <w:proofErr w:type="spellStart"/>
      <w:r>
        <w:rPr>
          <w:rFonts w:ascii="Calibri" w:hAnsi="Calibri"/>
        </w:rPr>
        <w:t>um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zawartych z PARP.</w:t>
      </w:r>
    </w:p>
    <w:p w:rsidR="0013735D" w:rsidRDefault="004B7B7B">
      <w:pPr>
        <w:pStyle w:val="Akapitzlist"/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przypadku projektu, w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przewidziana jest konieczność uzyskania dokumentacji związanej z oceną oddziaływania na środowisko lub pozwolenia na budowę, zawarcie umowy o dofinansowanie projektu następuje najpóźniej w terminie 6 miesięcy od daty otrzymania przez wnioskodawcę wezwania,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rym mowa w ust. 1. </w:t>
      </w:r>
    </w:p>
    <w:p w:rsidR="0013735D" w:rsidRDefault="004B7B7B">
      <w:pPr>
        <w:numPr>
          <w:ilvl w:val="0"/>
          <w:numId w:val="88"/>
        </w:numPr>
        <w:spacing w:after="120"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Wz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 umowy o dofinansowanie projektu stanowi załącznik nr 4 do regulaminu.</w:t>
      </w:r>
    </w:p>
    <w:p w:rsidR="0013735D" w:rsidRDefault="004B7B7B">
      <w:pPr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Wnioskodawca zobowiązany jest do ustanowienia zabezpieczenia należytego wykonania umowy o dofinansowanie projektu w formie i na warunkach określonych w umowie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o dofinansowanie projektu. Instrukcja przyjmowania oraz zwrotu zabezpieczeń jest udostępniana wnioskodawcom wraz z dokumentacją dotyczącą konkursu.</w:t>
      </w:r>
    </w:p>
    <w:p w:rsidR="0013735D" w:rsidRDefault="004B7B7B">
      <w:pPr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PARP zastrzega możliwość powierzenia czynności w zakresie weryfikacji statusu MŚP oraz trudnej sytuacji wnioskodawcy,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mowa w art. 2 pkt 18 rozporządzenia KE nr 651/2014, podmiotom zewnętrznym. </w:t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§ 13. Procedura odwoławcza</w:t>
      </w:r>
    </w:p>
    <w:p w:rsidR="0013735D" w:rsidRDefault="004B7B7B">
      <w:pPr>
        <w:numPr>
          <w:ilvl w:val="0"/>
          <w:numId w:val="10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przypadku negatywnej oceny projektu,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rej mowa w art. 53 ust. 2 ustawy wdrożeniowej, wnioskodawcy </w:t>
      </w:r>
      <w:proofErr w:type="spellStart"/>
      <w:r>
        <w:rPr>
          <w:rFonts w:ascii="Calibri" w:hAnsi="Calibri"/>
        </w:rPr>
        <w:t>przysł</w:t>
      </w:r>
      <w:proofErr w:type="spellEnd"/>
      <w:r>
        <w:rPr>
          <w:rFonts w:ascii="Calibri" w:hAnsi="Calibri"/>
          <w:lang w:val="es-ES_tradnl"/>
        </w:rPr>
        <w:t>uguje prawo wniesienia, w terminie 14 dni od dnia dor</w:t>
      </w:r>
      <w:proofErr w:type="spellStart"/>
      <w:r>
        <w:rPr>
          <w:rFonts w:ascii="Calibri" w:hAnsi="Calibri"/>
        </w:rPr>
        <w:t>ęczenia</w:t>
      </w:r>
      <w:proofErr w:type="spellEnd"/>
      <w:r>
        <w:rPr>
          <w:rFonts w:ascii="Calibri" w:hAnsi="Calibri"/>
        </w:rPr>
        <w:t xml:space="preserve"> informacji o negatywnej ocenie, protestu na zasadach określonych w Rozdziale 15 ustawy wdrożeniowej. </w:t>
      </w:r>
    </w:p>
    <w:p w:rsidR="0013735D" w:rsidRDefault="004B7B7B">
      <w:pPr>
        <w:numPr>
          <w:ilvl w:val="0"/>
          <w:numId w:val="10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Protest jest wnoszony do PARP.</w:t>
      </w:r>
    </w:p>
    <w:p w:rsidR="0013735D" w:rsidRDefault="004B7B7B">
      <w:pPr>
        <w:numPr>
          <w:ilvl w:val="0"/>
          <w:numId w:val="101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PARP rozpatruje protest, weryfikując prawidłowość oceny projektu w zakresie </w:t>
      </w:r>
      <w:proofErr w:type="spellStart"/>
      <w:r>
        <w:rPr>
          <w:rFonts w:ascii="Calibri" w:hAnsi="Calibri"/>
        </w:rPr>
        <w:t>kryteri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i zarzut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w, o </w:t>
      </w:r>
      <w:proofErr w:type="spellStart"/>
      <w:r>
        <w:rPr>
          <w:rFonts w:ascii="Calibri" w:hAnsi="Calibri"/>
        </w:rPr>
        <w:t>kt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rych</w:t>
      </w:r>
      <w:proofErr w:type="spellEnd"/>
      <w:r>
        <w:rPr>
          <w:rFonts w:ascii="Calibri" w:hAnsi="Calibri"/>
        </w:rPr>
        <w:t xml:space="preserve"> mowa w art. 54 ust. 2 pkt 4 i 5 ustawy wdrożeniowej, w terminie nie dłuższym niż 21 dni, licząc od dnia otrzymania protestu. W uzasadnionych przypadkach, w </w:t>
      </w:r>
      <w:proofErr w:type="spellStart"/>
      <w:r>
        <w:rPr>
          <w:rFonts w:ascii="Calibri" w:hAnsi="Calibri"/>
        </w:rPr>
        <w:t>szczeg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lności</w:t>
      </w:r>
      <w:proofErr w:type="spellEnd"/>
      <w:r>
        <w:rPr>
          <w:rFonts w:ascii="Calibri" w:hAnsi="Calibri"/>
        </w:rPr>
        <w:t xml:space="preserve"> gdy w trakcie rozpatrywania protestu konieczne jest skorzystanie z pomocy ekspert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w, termin rozpatrzenia protestu może być przedłużony, o czym PARP informuje na piśmie wnioskodawcę. Termin rozpatrzenia protestu nie może przekroczyć łącznie 45 dni od dnia otrzymania protestu.</w:t>
      </w:r>
    </w:p>
    <w:p w:rsidR="0013735D" w:rsidRDefault="004B7B7B">
      <w:pPr>
        <w:numPr>
          <w:ilvl w:val="0"/>
          <w:numId w:val="102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Projekt może otrzymać dofinansowanie w wyniku procedury odwoławczej pod warunkiem, ż</w:t>
      </w:r>
      <w:r>
        <w:rPr>
          <w:rFonts w:ascii="Calibri" w:hAnsi="Calibri"/>
          <w:lang w:val="nl-NL"/>
        </w:rPr>
        <w:t>e spe</w:t>
      </w:r>
      <w:proofErr w:type="spellStart"/>
      <w:r>
        <w:rPr>
          <w:rFonts w:ascii="Calibri" w:hAnsi="Calibri"/>
        </w:rPr>
        <w:t>łnił</w:t>
      </w:r>
      <w:proofErr w:type="spellEnd"/>
      <w:r>
        <w:rPr>
          <w:rFonts w:ascii="Calibri" w:hAnsi="Calibri"/>
        </w:rPr>
        <w:t xml:space="preserve"> kryteria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oraz pod warunkiem </w:t>
      </w:r>
      <w:proofErr w:type="spellStart"/>
      <w:r>
        <w:rPr>
          <w:rFonts w:ascii="Calibri" w:hAnsi="Calibri"/>
        </w:rPr>
        <w:t>dostępnoś</w:t>
      </w:r>
      <w:proofErr w:type="spellEnd"/>
      <w:r>
        <w:rPr>
          <w:rFonts w:ascii="Calibri" w:hAnsi="Calibri"/>
          <w:lang w:val="it-IT"/>
        </w:rPr>
        <w:t xml:space="preserve">ci </w:t>
      </w:r>
      <w:proofErr w:type="spellStart"/>
      <w:r>
        <w:rPr>
          <w:rFonts w:ascii="Calibri" w:hAnsi="Calibri"/>
        </w:rPr>
        <w:t>środk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finansowych. Postanowienia § 12 stosuje się odpowiednio.</w:t>
      </w:r>
    </w:p>
    <w:p w:rsidR="0013735D" w:rsidRDefault="004B7B7B">
      <w:pPr>
        <w:numPr>
          <w:ilvl w:val="0"/>
          <w:numId w:val="102"/>
        </w:numPr>
        <w:spacing w:after="120" w:line="276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Protest </w:t>
      </w:r>
      <w:proofErr w:type="spellStart"/>
      <w:r>
        <w:rPr>
          <w:rFonts w:ascii="Calibri" w:hAnsi="Calibri"/>
          <w:lang w:val="en-US"/>
        </w:rPr>
        <w:t>mo</w:t>
      </w:r>
      <w:proofErr w:type="spellEnd"/>
      <w:r>
        <w:rPr>
          <w:rFonts w:ascii="Calibri" w:hAnsi="Calibri"/>
        </w:rPr>
        <w:t>że zostać wycofany przez wnioskodawcę zgodnie z art. 54a ustawy wdrożeniowej.</w:t>
      </w:r>
    </w:p>
    <w:p w:rsidR="0013735D" w:rsidRDefault="004B7B7B">
      <w:pPr>
        <w:pStyle w:val="Nagwek1"/>
        <w:spacing w:before="240" w:after="240" w:line="276" w:lineRule="auto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 xml:space="preserve">§ 14. </w:t>
      </w:r>
      <w:proofErr w:type="spellStart"/>
      <w:r>
        <w:rPr>
          <w:rFonts w:ascii="Calibri" w:hAnsi="Calibri"/>
          <w:color w:val="000000"/>
          <w:u w:color="000000"/>
        </w:rPr>
        <w:t>Spos</w:t>
      </w:r>
      <w:proofErr w:type="spellEnd"/>
      <w:r>
        <w:rPr>
          <w:rFonts w:ascii="Calibri" w:hAnsi="Calibri"/>
          <w:color w:val="000000"/>
          <w:u w:color="000000"/>
          <w:lang w:val="es-ES_tradnl"/>
        </w:rPr>
        <w:t>ó</w:t>
      </w:r>
      <w:r>
        <w:rPr>
          <w:rFonts w:ascii="Calibri" w:hAnsi="Calibri"/>
          <w:color w:val="000000"/>
          <w:u w:color="000000"/>
        </w:rPr>
        <w:t>b udzielania wyjaśnień w kwestiach dotyczących konkursu</w:t>
      </w:r>
    </w:p>
    <w:p w:rsidR="0013735D" w:rsidRDefault="004B7B7B">
      <w:pPr>
        <w:numPr>
          <w:ilvl w:val="0"/>
          <w:numId w:val="104"/>
        </w:numPr>
        <w:spacing w:after="120"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Odes</w:t>
      </w:r>
      <w:r>
        <w:rPr>
          <w:rFonts w:ascii="Calibri" w:hAnsi="Calibri"/>
        </w:rPr>
        <w:t>łanie do odpowiedzi na pytania dotyczące procedury wyboru projekt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oraz składania </w:t>
      </w:r>
      <w:proofErr w:type="spellStart"/>
      <w:r>
        <w:rPr>
          <w:rFonts w:ascii="Calibri" w:hAnsi="Calibri"/>
        </w:rPr>
        <w:t>wniosk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 dofinansowanie w ramach działania (FAQ) znajduje się na stronie faq.parp.gov.pl.</w:t>
      </w:r>
    </w:p>
    <w:p w:rsidR="0013735D" w:rsidRDefault="004B7B7B">
      <w:pPr>
        <w:numPr>
          <w:ilvl w:val="0"/>
          <w:numId w:val="10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Ewentualne pytania można przesyłać za pośrednictwem formularza kontaktowego dostępnego na stronie działania.</w:t>
      </w:r>
    </w:p>
    <w:p w:rsidR="0013735D" w:rsidRDefault="004B7B7B">
      <w:pPr>
        <w:numPr>
          <w:ilvl w:val="0"/>
          <w:numId w:val="10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Wyjaśnień dotyczących konkursu udziela r</w:t>
      </w:r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wnież</w:t>
      </w:r>
      <w:proofErr w:type="spellEnd"/>
      <w:r>
        <w:rPr>
          <w:rFonts w:ascii="Calibri" w:hAnsi="Calibri"/>
        </w:rPr>
        <w:t xml:space="preserve"> Infolinia PARP odpowiadając na zapytania kierowane na adres poczty elektronicznej: </w:t>
      </w:r>
      <w:hyperlink r:id="rId11" w:history="1">
        <w:r>
          <w:rPr>
            <w:rStyle w:val="Hyperlink2"/>
            <w:rFonts w:ascii="Calibri" w:hAnsi="Calibri"/>
          </w:rPr>
          <w:t>info@parp.gov.pl</w:t>
        </w:r>
      </w:hyperlink>
      <w:r>
        <w:rPr>
          <w:rStyle w:val="Brak"/>
          <w:rFonts w:ascii="Calibri" w:hAnsi="Calibri"/>
        </w:rPr>
        <w:t xml:space="preserve"> oraz telefonicznie pod numerami 22 574 07 07 lub 0 801 332 202. </w:t>
      </w:r>
    </w:p>
    <w:p w:rsidR="0013735D" w:rsidRDefault="004B7B7B">
      <w:pPr>
        <w:numPr>
          <w:ilvl w:val="0"/>
          <w:numId w:val="10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Odpowiedzi na wszystkie pytania udzielane są indywidualnie. Odpowiedzi polegające na wyjaśnieniu procedur lub ich interpretacji są dodatkowo zamieszczane w FAQ, do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rych</w:t>
      </w:r>
      <w:proofErr w:type="spellEnd"/>
      <w:r>
        <w:rPr>
          <w:rStyle w:val="Brak"/>
          <w:rFonts w:ascii="Calibri" w:hAnsi="Calibri"/>
        </w:rPr>
        <w:t xml:space="preserve"> odesłanie znajduje się na stronie działania. </w:t>
      </w:r>
    </w:p>
    <w:p w:rsidR="0013735D" w:rsidRDefault="004B7B7B">
      <w:pPr>
        <w:pStyle w:val="Nagwek1"/>
        <w:spacing w:before="240" w:after="240" w:line="276" w:lineRule="auto"/>
        <w:rPr>
          <w:rStyle w:val="Brak"/>
          <w:rFonts w:ascii="Calibri" w:eastAsia="Calibri" w:hAnsi="Calibri" w:cs="Calibri"/>
          <w:color w:val="000000"/>
          <w:u w:color="000000"/>
        </w:rPr>
      </w:pPr>
      <w:r>
        <w:rPr>
          <w:rStyle w:val="Brak"/>
          <w:rFonts w:ascii="Calibri" w:hAnsi="Calibri"/>
          <w:color w:val="000000"/>
          <w:u w:color="000000"/>
        </w:rPr>
        <w:t>§ 15. Postanowienia końcowe</w:t>
      </w:r>
    </w:p>
    <w:p w:rsidR="0013735D" w:rsidRDefault="004B7B7B">
      <w:pPr>
        <w:pStyle w:val="Default"/>
        <w:numPr>
          <w:ilvl w:val="0"/>
          <w:numId w:val="10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zastrzega sobie możliwość zmiany regulaminu, z zastrzeżeniem art. 41 ust. 3-4 ustawy wdrożeniowej.</w:t>
      </w:r>
    </w:p>
    <w:p w:rsidR="0013735D" w:rsidRDefault="004B7B7B">
      <w:pPr>
        <w:pStyle w:val="Default"/>
        <w:numPr>
          <w:ilvl w:val="0"/>
          <w:numId w:val="10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przypadku zmiany regulaminu, PARP zamieszcza na stronie działania oraz na portalu informację o jego zmianie, aktualną treść regulaminu, uzasadnienie zmiany oraz termin, od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rego</w:t>
      </w:r>
      <w:proofErr w:type="spellEnd"/>
      <w:r>
        <w:rPr>
          <w:rStyle w:val="Brak"/>
          <w:rFonts w:ascii="Calibri" w:hAnsi="Calibri"/>
        </w:rPr>
        <w:t xml:space="preserve"> stosuje się zmianę. PARP udostępnia na stronie działania oraz na portalu poprzednie wersje regulaminu. PARP niezwłocznie informuje o zmianie regulaminu każdego wnioskodawcę.</w:t>
      </w:r>
    </w:p>
    <w:p w:rsidR="0013735D" w:rsidRDefault="004B7B7B">
      <w:pPr>
        <w:pStyle w:val="Default"/>
        <w:numPr>
          <w:ilvl w:val="0"/>
          <w:numId w:val="10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PARP zastrzega sobie możliwość anulowania konkursu lub rundy konkursu, 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 xml:space="preserve">w </w:t>
      </w:r>
      <w:proofErr w:type="spellStart"/>
      <w:r>
        <w:rPr>
          <w:rStyle w:val="Brak"/>
          <w:rFonts w:ascii="Calibri" w:hAnsi="Calibri"/>
        </w:rPr>
        <w:t>szczeg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lności</w:t>
      </w:r>
      <w:proofErr w:type="spellEnd"/>
      <w:r>
        <w:rPr>
          <w:rStyle w:val="Brak"/>
          <w:rFonts w:ascii="Calibri" w:hAnsi="Calibri"/>
        </w:rPr>
        <w:t xml:space="preserve"> w przypadku wprowadzenia istotnych zmian w przepisach prawa 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 xml:space="preserve">mających wpływ na warunki przeprowadzenia konkursu lub zdarzeń o charakterze siły wyższej. </w:t>
      </w:r>
    </w:p>
    <w:p w:rsidR="0013735D" w:rsidRDefault="004B7B7B">
      <w:pPr>
        <w:spacing w:after="120" w:line="276" w:lineRule="auto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>Załączniki:</w:t>
      </w:r>
      <w:bookmarkStart w:id="1" w:name="_GoBack"/>
      <w:bookmarkEnd w:id="1"/>
    </w:p>
    <w:p w:rsidR="0013735D" w:rsidRDefault="004B7B7B">
      <w:pPr>
        <w:pStyle w:val="Akapitzlist"/>
        <w:numPr>
          <w:ilvl w:val="0"/>
          <w:numId w:val="108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Kryteria wyboru projekt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wraz z podaniem ich znaczenia</w:t>
      </w:r>
    </w:p>
    <w:p w:rsidR="0013735D" w:rsidRDefault="004B7B7B">
      <w:pPr>
        <w:pStyle w:val="Akapitzlist"/>
        <w:numPr>
          <w:ilvl w:val="0"/>
          <w:numId w:val="108"/>
        </w:numPr>
        <w:spacing w:line="276" w:lineRule="auto"/>
        <w:rPr>
          <w:rFonts w:ascii="Calibri" w:hAnsi="Calibri"/>
          <w:lang w:val="de-DE"/>
        </w:rPr>
      </w:pPr>
      <w:r>
        <w:rPr>
          <w:rStyle w:val="Brak"/>
          <w:rFonts w:ascii="Calibri" w:hAnsi="Calibri"/>
          <w:lang w:val="de-DE"/>
        </w:rPr>
        <w:t>Wz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 wniosku o dofinansowanie projektu</w:t>
      </w:r>
    </w:p>
    <w:p w:rsidR="0013735D" w:rsidRDefault="004B7B7B">
      <w:pPr>
        <w:pStyle w:val="Akapitzlist"/>
        <w:numPr>
          <w:ilvl w:val="0"/>
          <w:numId w:val="108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Instrukcja wypełniania wniosku o dofinansowanie</w:t>
      </w:r>
    </w:p>
    <w:p w:rsidR="0013735D" w:rsidRDefault="004B7B7B">
      <w:pPr>
        <w:pStyle w:val="Akapitzlist"/>
        <w:numPr>
          <w:ilvl w:val="0"/>
          <w:numId w:val="108"/>
        </w:numPr>
        <w:spacing w:line="276" w:lineRule="auto"/>
        <w:rPr>
          <w:rFonts w:ascii="Calibri" w:hAnsi="Calibri"/>
          <w:lang w:val="de-DE"/>
        </w:rPr>
      </w:pPr>
      <w:r>
        <w:rPr>
          <w:rStyle w:val="Brak"/>
          <w:rFonts w:ascii="Calibri" w:hAnsi="Calibri"/>
          <w:lang w:val="de-DE"/>
        </w:rPr>
        <w:t>Wz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 umowy o dofinansowanie Projektu</w:t>
      </w:r>
    </w:p>
    <w:p w:rsidR="0013735D" w:rsidRDefault="004B7B7B">
      <w:pPr>
        <w:pStyle w:val="Akapitzlist"/>
        <w:numPr>
          <w:ilvl w:val="0"/>
          <w:numId w:val="108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Lista dokument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niezbędnych do zawarcia umowy o dofinansowanie projektu </w:t>
      </w:r>
    </w:p>
    <w:p w:rsidR="0013735D" w:rsidRDefault="004B7B7B">
      <w:pPr>
        <w:pStyle w:val="Akapitzlist"/>
        <w:numPr>
          <w:ilvl w:val="0"/>
          <w:numId w:val="108"/>
        </w:numPr>
        <w:spacing w:line="276" w:lineRule="auto"/>
        <w:rPr>
          <w:rFonts w:ascii="Calibri" w:hAnsi="Calibri"/>
          <w:lang w:val="de-DE"/>
        </w:rPr>
      </w:pPr>
      <w:r>
        <w:rPr>
          <w:rStyle w:val="Brak"/>
          <w:rFonts w:ascii="Calibri" w:hAnsi="Calibri"/>
          <w:lang w:val="de-DE"/>
        </w:rPr>
        <w:t>Wz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 formularza „Analiza zgodności projektu z polityką ochrony środowiska”</w:t>
      </w:r>
    </w:p>
    <w:p w:rsidR="0013735D" w:rsidRDefault="004B7B7B">
      <w:pPr>
        <w:pStyle w:val="Akapitzlist"/>
        <w:numPr>
          <w:ilvl w:val="0"/>
          <w:numId w:val="108"/>
        </w:numPr>
        <w:spacing w:after="120" w:line="276" w:lineRule="auto"/>
        <w:rPr>
          <w:rFonts w:ascii="Calibri" w:hAnsi="Calibri"/>
          <w:lang w:val="de-DE"/>
        </w:rPr>
      </w:pPr>
      <w:r>
        <w:rPr>
          <w:rStyle w:val="Brak"/>
          <w:rFonts w:ascii="Calibri" w:hAnsi="Calibri"/>
          <w:lang w:val="de-DE"/>
        </w:rPr>
        <w:t>Wz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 promesy kredytowej</w:t>
      </w:r>
    </w:p>
    <w:p w:rsidR="0013735D" w:rsidRDefault="004B7B7B">
      <w:pPr>
        <w:pStyle w:val="Akapitzlist"/>
        <w:numPr>
          <w:ilvl w:val="0"/>
          <w:numId w:val="108"/>
        </w:numPr>
        <w:spacing w:after="120" w:line="276" w:lineRule="auto"/>
        <w:rPr>
          <w:rFonts w:ascii="Calibri" w:hAnsi="Calibri"/>
          <w:lang w:val="de-DE"/>
        </w:rPr>
      </w:pPr>
      <w:r>
        <w:rPr>
          <w:rStyle w:val="Brak"/>
          <w:rFonts w:ascii="Calibri" w:hAnsi="Calibri"/>
          <w:lang w:val="de-DE"/>
        </w:rPr>
        <w:t>Wz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 upoważnienia dla banku do przekazania informacji objętych tajemnicą bankową.</w:t>
      </w:r>
    </w:p>
    <w:sectPr w:rsidR="0013735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907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7B" w:rsidRDefault="004B7B7B">
      <w:r>
        <w:separator/>
      </w:r>
    </w:p>
  </w:endnote>
  <w:endnote w:type="continuationSeparator" w:id="0">
    <w:p w:rsidR="004B7B7B" w:rsidRDefault="004B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5D" w:rsidRDefault="0013735D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5D" w:rsidRDefault="0013735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7B" w:rsidRDefault="004B7B7B">
      <w:r>
        <w:separator/>
      </w:r>
    </w:p>
  </w:footnote>
  <w:footnote w:type="continuationSeparator" w:id="0">
    <w:p w:rsidR="004B7B7B" w:rsidRDefault="004B7B7B">
      <w:r>
        <w:continuationSeparator/>
      </w:r>
    </w:p>
  </w:footnote>
  <w:footnote w:type="continuationNotice" w:id="1">
    <w:p w:rsidR="004B7B7B" w:rsidRDefault="004B7B7B"/>
  </w:footnote>
  <w:footnote w:id="2">
    <w:p w:rsidR="0013735D" w:rsidRDefault="004B7B7B" w:rsidP="00FA674D">
      <w:pPr>
        <w:spacing w:after="120" w:line="276" w:lineRule="auto"/>
        <w:jc w:val="both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sz w:val="16"/>
          <w:szCs w:val="16"/>
        </w:rPr>
        <w:t xml:space="preserve"> </w:t>
      </w:r>
      <w:r w:rsidRPr="00FA674D">
        <w:rPr>
          <w:rFonts w:ascii="Calibri" w:hAnsi="Calibri" w:cs="Calibri"/>
          <w:sz w:val="20"/>
          <w:szCs w:val="20"/>
        </w:rPr>
        <w:t xml:space="preserve">Dopuszczalną </w:t>
      </w:r>
      <w:r w:rsidRPr="00FA674D">
        <w:rPr>
          <w:rFonts w:ascii="Calibri" w:hAnsi="Calibri" w:cs="Calibri"/>
          <w:sz w:val="20"/>
          <w:szCs w:val="20"/>
          <w:lang w:val="en-US"/>
        </w:rPr>
        <w:t>form</w:t>
      </w:r>
      <w:r w:rsidRPr="00FA674D">
        <w:rPr>
          <w:rFonts w:ascii="Calibri" w:hAnsi="Calibri" w:cs="Calibri"/>
          <w:sz w:val="20"/>
          <w:szCs w:val="20"/>
        </w:rPr>
        <w:t>ą inwestycji początkowej w działaniu 1.4 II etap</w:t>
      </w:r>
      <w:r w:rsidRPr="00FA674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A674D">
        <w:rPr>
          <w:rFonts w:ascii="Calibri" w:hAnsi="Calibri" w:cs="Calibri"/>
          <w:sz w:val="20"/>
          <w:szCs w:val="20"/>
        </w:rPr>
        <w:t>jest inwestycja w rzeczowe aktywa trwałe lub wartości niematerialne i prawne związane ze zwiększeniem zdolności produkcyjnej istniejącego zakładu albo dywersyfikacją produkcji zakładu poprzez wprowadzenie produkt</w:t>
      </w:r>
      <w:r w:rsidRPr="00FA674D">
        <w:rPr>
          <w:rFonts w:ascii="Calibri" w:hAnsi="Calibri" w:cs="Calibri"/>
          <w:sz w:val="20"/>
          <w:szCs w:val="20"/>
          <w:lang w:val="es-ES_tradnl"/>
        </w:rPr>
        <w:t>ó</w:t>
      </w:r>
      <w:r w:rsidRPr="00FA674D">
        <w:rPr>
          <w:rFonts w:ascii="Calibri" w:hAnsi="Calibri" w:cs="Calibri"/>
          <w:sz w:val="20"/>
          <w:szCs w:val="20"/>
        </w:rPr>
        <w:t>w uprzednio nieprodukowanych w zakładzie albo zasadniczą zmianą dotyczącą procesu produkcyjnego istniejącego zakładu.</w:t>
      </w:r>
    </w:p>
  </w:footnote>
  <w:footnote w:id="3">
    <w:p w:rsidR="0013735D" w:rsidRPr="00FA674D" w:rsidRDefault="004B7B7B" w:rsidP="00FA674D">
      <w:pPr>
        <w:pStyle w:val="Tekstprzypisudolnego"/>
        <w:spacing w:line="276" w:lineRule="auto"/>
        <w:rPr>
          <w:rFonts w:ascii="Calibri" w:hAnsi="Calibri" w:cs="Calibri"/>
        </w:rPr>
      </w:pPr>
      <w:r w:rsidRPr="00FA674D">
        <w:rPr>
          <w:rFonts w:ascii="Calibri" w:eastAsia="Calibri" w:hAnsi="Calibri" w:cs="Calibri"/>
          <w:vertAlign w:val="superscript"/>
        </w:rPr>
        <w:footnoteRef/>
      </w:r>
      <w:r w:rsidRPr="00FA674D">
        <w:rPr>
          <w:rFonts w:ascii="Calibri" w:eastAsia="Arial Unicode MS" w:hAnsi="Calibri" w:cs="Calibri"/>
        </w:rPr>
        <w:t xml:space="preserve"> Przez „zezwolenie na inwestycję” </w:t>
      </w:r>
      <w:r w:rsidRPr="00FA674D">
        <w:rPr>
          <w:rFonts w:ascii="Calibri" w:eastAsia="Arial Unicode MS" w:hAnsi="Calibri" w:cs="Calibri"/>
          <w:lang w:val="it-IT"/>
        </w:rPr>
        <w:t>nale</w:t>
      </w:r>
      <w:proofErr w:type="spellStart"/>
      <w:r w:rsidRPr="00FA674D">
        <w:rPr>
          <w:rFonts w:ascii="Calibri" w:eastAsia="Arial Unicode MS" w:hAnsi="Calibri" w:cs="Calibri"/>
        </w:rPr>
        <w:t>ży</w:t>
      </w:r>
      <w:proofErr w:type="spellEnd"/>
      <w:r w:rsidRPr="00FA674D">
        <w:rPr>
          <w:rFonts w:ascii="Calibri" w:eastAsia="Arial Unicode MS" w:hAnsi="Calibri" w:cs="Calibri"/>
        </w:rPr>
        <w:t xml:space="preserve"> rozumieć prawomocną decyzję budowlaną (pozwolenie na budowę albo decyzja o zezwoleniu na realizację inwestycji), ewentualnie inną  decyzję administracyjną kończącą przygotowanie procesu inwestycyjnego (np. decyzję o środowiskowych uwarunkowaniach), jeżeli dla danego przedsięwzięcia przepisy prawa nie przewidują konieczności uzyskania pozwolenia na budowę.</w:t>
      </w:r>
    </w:p>
  </w:footnote>
  <w:footnote w:id="4">
    <w:p w:rsidR="0013735D" w:rsidRPr="00FA674D" w:rsidRDefault="004B7B7B" w:rsidP="00FA674D">
      <w:pPr>
        <w:pStyle w:val="Tekstprzypisudolnego"/>
        <w:spacing w:line="276" w:lineRule="auto"/>
        <w:rPr>
          <w:rFonts w:ascii="Calibri" w:hAnsi="Calibri" w:cs="Calibri"/>
        </w:rPr>
      </w:pPr>
      <w:r w:rsidRPr="00FA674D">
        <w:rPr>
          <w:rFonts w:ascii="Calibri" w:eastAsia="Calibri" w:hAnsi="Calibri" w:cs="Calibri"/>
          <w:vertAlign w:val="superscript"/>
        </w:rPr>
        <w:footnoteRef/>
      </w:r>
      <w:r w:rsidRPr="00FA674D">
        <w:rPr>
          <w:rFonts w:ascii="Calibri" w:eastAsia="Arial Unicode MS" w:hAnsi="Calibri" w:cs="Calibri"/>
        </w:rPr>
        <w:t xml:space="preserve"> Dotyczy </w:t>
      </w:r>
      <w:proofErr w:type="spellStart"/>
      <w:r w:rsidRPr="00FA674D">
        <w:rPr>
          <w:rFonts w:ascii="Calibri" w:eastAsia="Arial Unicode MS" w:hAnsi="Calibri" w:cs="Calibri"/>
        </w:rPr>
        <w:t>wnioskodawc</w:t>
      </w:r>
      <w:proofErr w:type="spellEnd"/>
      <w:r w:rsidRPr="00FA674D">
        <w:rPr>
          <w:rFonts w:ascii="Calibri" w:eastAsia="Arial Unicode MS" w:hAnsi="Calibri" w:cs="Calibri"/>
          <w:lang w:val="es-ES_tradnl"/>
        </w:rPr>
        <w:t>ó</w:t>
      </w:r>
      <w:r w:rsidRPr="00FA674D">
        <w:rPr>
          <w:rFonts w:ascii="Calibri" w:eastAsia="Arial Unicode MS" w:hAnsi="Calibri" w:cs="Calibri"/>
        </w:rPr>
        <w:t>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5D" w:rsidRDefault="004B7B7B">
    <w:pPr>
      <w:pStyle w:val="Nagwek"/>
      <w:tabs>
        <w:tab w:val="clear" w:pos="9072"/>
        <w:tab w:val="right" w:pos="9044"/>
      </w:tabs>
      <w:jc w:val="right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A674D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5D" w:rsidRDefault="0013735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576"/>
    <w:multiLevelType w:val="hybridMultilevel"/>
    <w:tmpl w:val="3C1ED51C"/>
    <w:styleLink w:val="Zaimportowanystyl18"/>
    <w:lvl w:ilvl="0" w:tplc="548AAE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D05C6C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6A4F0">
      <w:start w:val="1"/>
      <w:numFmt w:val="lowerRoman"/>
      <w:lvlText w:val="%3."/>
      <w:lvlJc w:val="left"/>
      <w:pPr>
        <w:ind w:left="22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07EF6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D2E690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69C">
      <w:start w:val="1"/>
      <w:numFmt w:val="lowerRoman"/>
      <w:lvlText w:val="%6."/>
      <w:lvlJc w:val="left"/>
      <w:pPr>
        <w:ind w:left="43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760DC8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880C0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A7E3A">
      <w:start w:val="1"/>
      <w:numFmt w:val="lowerRoman"/>
      <w:lvlText w:val="%9."/>
      <w:lvlJc w:val="left"/>
      <w:pPr>
        <w:ind w:left="654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2649C5"/>
    <w:multiLevelType w:val="hybridMultilevel"/>
    <w:tmpl w:val="BA4C9908"/>
    <w:numStyleLink w:val="Zaimportowanystyl32"/>
  </w:abstractNum>
  <w:abstractNum w:abstractNumId="2" w15:restartNumberingAfterBreak="0">
    <w:nsid w:val="040A2E96"/>
    <w:multiLevelType w:val="hybridMultilevel"/>
    <w:tmpl w:val="1C2C3C3A"/>
    <w:numStyleLink w:val="Zaimportowanystyl4"/>
  </w:abstractNum>
  <w:abstractNum w:abstractNumId="3" w15:restartNumberingAfterBreak="0">
    <w:nsid w:val="04B40E58"/>
    <w:multiLevelType w:val="hybridMultilevel"/>
    <w:tmpl w:val="FAA88A4E"/>
    <w:styleLink w:val="Zaimportowanystyl26"/>
    <w:lvl w:ilvl="0" w:tplc="4490C80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769E42">
      <w:start w:val="1"/>
      <w:numFmt w:val="lowerLetter"/>
      <w:lvlText w:val="%2."/>
      <w:lvlJc w:val="left"/>
      <w:pPr>
        <w:tabs>
          <w:tab w:val="left" w:pos="709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2E2E34">
      <w:start w:val="1"/>
      <w:numFmt w:val="lowerRoman"/>
      <w:lvlText w:val="%3."/>
      <w:lvlJc w:val="left"/>
      <w:pPr>
        <w:tabs>
          <w:tab w:val="left" w:pos="709"/>
        </w:tabs>
        <w:ind w:left="214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87C32">
      <w:start w:val="1"/>
      <w:numFmt w:val="decimal"/>
      <w:lvlText w:val="%4."/>
      <w:lvlJc w:val="left"/>
      <w:pPr>
        <w:tabs>
          <w:tab w:val="left" w:pos="709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C83E2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63C3A">
      <w:start w:val="1"/>
      <w:numFmt w:val="lowerRoman"/>
      <w:lvlText w:val="%6."/>
      <w:lvlJc w:val="left"/>
      <w:pPr>
        <w:tabs>
          <w:tab w:val="left" w:pos="709"/>
        </w:tabs>
        <w:ind w:left="430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78584C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44BB9A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C7DE4">
      <w:start w:val="1"/>
      <w:numFmt w:val="lowerRoman"/>
      <w:lvlText w:val="%9."/>
      <w:lvlJc w:val="left"/>
      <w:pPr>
        <w:tabs>
          <w:tab w:val="left" w:pos="709"/>
        </w:tabs>
        <w:ind w:left="646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6A587A"/>
    <w:multiLevelType w:val="hybridMultilevel"/>
    <w:tmpl w:val="FAA88A4E"/>
    <w:numStyleLink w:val="Zaimportowanystyl26"/>
  </w:abstractNum>
  <w:abstractNum w:abstractNumId="5" w15:restartNumberingAfterBreak="0">
    <w:nsid w:val="0A016C99"/>
    <w:multiLevelType w:val="hybridMultilevel"/>
    <w:tmpl w:val="87FC458E"/>
    <w:numStyleLink w:val="Zaimportowanystyl19"/>
  </w:abstractNum>
  <w:abstractNum w:abstractNumId="6" w15:restartNumberingAfterBreak="0">
    <w:nsid w:val="0B2533AE"/>
    <w:multiLevelType w:val="hybridMultilevel"/>
    <w:tmpl w:val="AA1212E2"/>
    <w:numStyleLink w:val="Zaimportowanystyl13"/>
  </w:abstractNum>
  <w:abstractNum w:abstractNumId="7" w15:restartNumberingAfterBreak="0">
    <w:nsid w:val="11B2021E"/>
    <w:multiLevelType w:val="hybridMultilevel"/>
    <w:tmpl w:val="F46A4C92"/>
    <w:styleLink w:val="Zaimportowanystyl27"/>
    <w:lvl w:ilvl="0" w:tplc="FE06E6D2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B06E6E">
      <w:start w:val="1"/>
      <w:numFmt w:val="decimal"/>
      <w:lvlText w:val="%2)"/>
      <w:lvlJc w:val="left"/>
      <w:pPr>
        <w:tabs>
          <w:tab w:val="left" w:pos="709"/>
        </w:tabs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E235E">
      <w:start w:val="1"/>
      <w:numFmt w:val="lowerRoman"/>
      <w:lvlText w:val="%3."/>
      <w:lvlJc w:val="left"/>
      <w:pPr>
        <w:tabs>
          <w:tab w:val="left" w:pos="709"/>
        </w:tabs>
        <w:ind w:left="2149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E4984">
      <w:start w:val="1"/>
      <w:numFmt w:val="decimal"/>
      <w:lvlText w:val="%4."/>
      <w:lvlJc w:val="left"/>
      <w:pPr>
        <w:tabs>
          <w:tab w:val="left" w:pos="709"/>
        </w:tabs>
        <w:ind w:left="3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244A6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4DBBC">
      <w:start w:val="1"/>
      <w:numFmt w:val="lowerRoman"/>
      <w:lvlText w:val="%6."/>
      <w:lvlJc w:val="left"/>
      <w:pPr>
        <w:tabs>
          <w:tab w:val="left" w:pos="709"/>
        </w:tabs>
        <w:ind w:left="4309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0AC66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2A5E0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03BBA">
      <w:start w:val="1"/>
      <w:numFmt w:val="lowerRoman"/>
      <w:lvlText w:val="%9."/>
      <w:lvlJc w:val="left"/>
      <w:pPr>
        <w:tabs>
          <w:tab w:val="left" w:pos="709"/>
        </w:tabs>
        <w:ind w:left="6469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E01A15"/>
    <w:multiLevelType w:val="hybridMultilevel"/>
    <w:tmpl w:val="B52263A0"/>
    <w:styleLink w:val="Zaimportowanystyl35"/>
    <w:lvl w:ilvl="0" w:tplc="7A2A1FF6">
      <w:start w:val="1"/>
      <w:numFmt w:val="decimal"/>
      <w:lvlText w:val="%1)"/>
      <w:lvlJc w:val="left"/>
      <w:pPr>
        <w:ind w:left="78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2238B4">
      <w:start w:val="1"/>
      <w:numFmt w:val="lowerLetter"/>
      <w:lvlText w:val="%2."/>
      <w:lvlJc w:val="left"/>
      <w:pPr>
        <w:ind w:left="150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3C9592">
      <w:start w:val="1"/>
      <w:numFmt w:val="lowerRoman"/>
      <w:lvlText w:val="%3."/>
      <w:lvlJc w:val="left"/>
      <w:pPr>
        <w:ind w:left="222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882BA">
      <w:start w:val="1"/>
      <w:numFmt w:val="decimal"/>
      <w:lvlText w:val="%4."/>
      <w:lvlJc w:val="left"/>
      <w:pPr>
        <w:ind w:left="294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18F790">
      <w:start w:val="1"/>
      <w:numFmt w:val="lowerLetter"/>
      <w:lvlText w:val="%5."/>
      <w:lvlJc w:val="left"/>
      <w:pPr>
        <w:ind w:left="366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A253FE">
      <w:start w:val="1"/>
      <w:numFmt w:val="lowerRoman"/>
      <w:lvlText w:val="%6."/>
      <w:lvlJc w:val="left"/>
      <w:pPr>
        <w:ind w:left="438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2AFCE">
      <w:start w:val="1"/>
      <w:numFmt w:val="decimal"/>
      <w:lvlText w:val="%7."/>
      <w:lvlJc w:val="left"/>
      <w:pPr>
        <w:ind w:left="510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EEBCA">
      <w:start w:val="1"/>
      <w:numFmt w:val="lowerLetter"/>
      <w:lvlText w:val="%8."/>
      <w:lvlJc w:val="left"/>
      <w:pPr>
        <w:ind w:left="582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4A190">
      <w:start w:val="1"/>
      <w:numFmt w:val="lowerRoman"/>
      <w:lvlText w:val="%9."/>
      <w:lvlJc w:val="left"/>
      <w:pPr>
        <w:ind w:left="654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6F223C"/>
    <w:multiLevelType w:val="hybridMultilevel"/>
    <w:tmpl w:val="3E000CF0"/>
    <w:styleLink w:val="Zaimportowanystyl1"/>
    <w:lvl w:ilvl="0" w:tplc="D5908D1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CA4672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8B7EE">
      <w:start w:val="1"/>
      <w:numFmt w:val="lowerRoman"/>
      <w:lvlText w:val="%3."/>
      <w:lvlJc w:val="left"/>
      <w:pPr>
        <w:ind w:left="186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2B9A0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86F43C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28EC56">
      <w:start w:val="1"/>
      <w:numFmt w:val="lowerRoman"/>
      <w:lvlText w:val="%6."/>
      <w:lvlJc w:val="left"/>
      <w:pPr>
        <w:ind w:left="402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63D7C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6D68E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A955C">
      <w:start w:val="1"/>
      <w:numFmt w:val="lowerRoman"/>
      <w:lvlText w:val="%9."/>
      <w:lvlJc w:val="left"/>
      <w:pPr>
        <w:ind w:left="618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A1284E"/>
    <w:multiLevelType w:val="hybridMultilevel"/>
    <w:tmpl w:val="50600294"/>
    <w:numStyleLink w:val="Zaimportowanystyl39"/>
  </w:abstractNum>
  <w:abstractNum w:abstractNumId="11" w15:restartNumberingAfterBreak="0">
    <w:nsid w:val="164461EE"/>
    <w:multiLevelType w:val="hybridMultilevel"/>
    <w:tmpl w:val="F46A4C92"/>
    <w:numStyleLink w:val="Zaimportowanystyl27"/>
  </w:abstractNum>
  <w:abstractNum w:abstractNumId="12" w15:restartNumberingAfterBreak="0">
    <w:nsid w:val="16782DA5"/>
    <w:multiLevelType w:val="hybridMultilevel"/>
    <w:tmpl w:val="255493FE"/>
    <w:numStyleLink w:val="Zaimportowanystyl22"/>
  </w:abstractNum>
  <w:abstractNum w:abstractNumId="13" w15:restartNumberingAfterBreak="0">
    <w:nsid w:val="19810CC2"/>
    <w:multiLevelType w:val="hybridMultilevel"/>
    <w:tmpl w:val="23A025DC"/>
    <w:styleLink w:val="Zaimportowanystyl28"/>
    <w:lvl w:ilvl="0" w:tplc="E198021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24614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9860A4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06126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5CDF8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0451AE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A07C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0262D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A7506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9F7192"/>
    <w:multiLevelType w:val="hybridMultilevel"/>
    <w:tmpl w:val="4F1A0032"/>
    <w:numStyleLink w:val="Zaimportowanystyl9"/>
  </w:abstractNum>
  <w:abstractNum w:abstractNumId="15" w15:restartNumberingAfterBreak="0">
    <w:nsid w:val="1B887440"/>
    <w:multiLevelType w:val="hybridMultilevel"/>
    <w:tmpl w:val="319EC7A0"/>
    <w:styleLink w:val="Zaimportowanystyl8"/>
    <w:lvl w:ilvl="0" w:tplc="D514149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066D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58CCC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6CA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2B2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C124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0A2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EE12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8A47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D022D3"/>
    <w:multiLevelType w:val="hybridMultilevel"/>
    <w:tmpl w:val="599E9208"/>
    <w:styleLink w:val="Zaimportowanystyl29"/>
    <w:lvl w:ilvl="0" w:tplc="D30AC02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843BA">
      <w:start w:val="1"/>
      <w:numFmt w:val="lowerLetter"/>
      <w:lvlText w:val="%2."/>
      <w:lvlJc w:val="left"/>
      <w:pPr>
        <w:ind w:left="13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8F150">
      <w:start w:val="1"/>
      <w:numFmt w:val="lowerRoman"/>
      <w:lvlText w:val="%3."/>
      <w:lvlJc w:val="left"/>
      <w:pPr>
        <w:ind w:left="2083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254B6">
      <w:start w:val="1"/>
      <w:numFmt w:val="decimal"/>
      <w:lvlText w:val="%4."/>
      <w:lvlJc w:val="left"/>
      <w:pPr>
        <w:ind w:left="28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A19D2">
      <w:start w:val="1"/>
      <w:numFmt w:val="lowerLetter"/>
      <w:lvlText w:val="%5."/>
      <w:lvlJc w:val="left"/>
      <w:pPr>
        <w:ind w:left="352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4AD42">
      <w:start w:val="1"/>
      <w:numFmt w:val="lowerRoman"/>
      <w:lvlText w:val="%6."/>
      <w:lvlJc w:val="left"/>
      <w:pPr>
        <w:ind w:left="4243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06636">
      <w:start w:val="1"/>
      <w:numFmt w:val="decimal"/>
      <w:lvlText w:val="%7."/>
      <w:lvlJc w:val="left"/>
      <w:pPr>
        <w:ind w:left="49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002C4">
      <w:start w:val="1"/>
      <w:numFmt w:val="lowerLetter"/>
      <w:lvlText w:val="%8."/>
      <w:lvlJc w:val="left"/>
      <w:pPr>
        <w:ind w:left="56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6CF4">
      <w:start w:val="1"/>
      <w:numFmt w:val="lowerRoman"/>
      <w:lvlText w:val="%9."/>
      <w:lvlJc w:val="left"/>
      <w:pPr>
        <w:ind w:left="6403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C1806AF"/>
    <w:multiLevelType w:val="hybridMultilevel"/>
    <w:tmpl w:val="324CD5AA"/>
    <w:styleLink w:val="Zaimportowanystyl21"/>
    <w:lvl w:ilvl="0" w:tplc="96B894C2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0F65C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221AC8">
      <w:start w:val="1"/>
      <w:numFmt w:val="lowerRoman"/>
      <w:lvlText w:val="%3."/>
      <w:lvlJc w:val="left"/>
      <w:pPr>
        <w:ind w:left="229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0AB0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0B6D6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0535A">
      <w:start w:val="1"/>
      <w:numFmt w:val="lowerRoman"/>
      <w:lvlText w:val="%6."/>
      <w:lvlJc w:val="left"/>
      <w:pPr>
        <w:ind w:left="445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84BA92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ECC6A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4485A">
      <w:start w:val="1"/>
      <w:numFmt w:val="lowerRoman"/>
      <w:lvlText w:val="%9."/>
      <w:lvlJc w:val="left"/>
      <w:pPr>
        <w:ind w:left="661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D2E1C0C"/>
    <w:multiLevelType w:val="hybridMultilevel"/>
    <w:tmpl w:val="2B4A42DA"/>
    <w:numStyleLink w:val="Zaimportowanystyl16"/>
  </w:abstractNum>
  <w:abstractNum w:abstractNumId="19" w15:restartNumberingAfterBreak="0">
    <w:nsid w:val="1D347AFE"/>
    <w:multiLevelType w:val="hybridMultilevel"/>
    <w:tmpl w:val="3C1ED51C"/>
    <w:numStyleLink w:val="Zaimportowanystyl18"/>
  </w:abstractNum>
  <w:abstractNum w:abstractNumId="20" w15:restartNumberingAfterBreak="0">
    <w:nsid w:val="1DBC7761"/>
    <w:multiLevelType w:val="hybridMultilevel"/>
    <w:tmpl w:val="1C2C3C3A"/>
    <w:styleLink w:val="Zaimportowanystyl4"/>
    <w:lvl w:ilvl="0" w:tplc="F294E064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BC8CAA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CBABE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F094AE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8302C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22028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8245A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A29B4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E4D618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DEA47B3"/>
    <w:multiLevelType w:val="hybridMultilevel"/>
    <w:tmpl w:val="E954E070"/>
    <w:numStyleLink w:val="Zaimportowanystyl23"/>
  </w:abstractNum>
  <w:abstractNum w:abstractNumId="22" w15:restartNumberingAfterBreak="0">
    <w:nsid w:val="1E821B76"/>
    <w:multiLevelType w:val="hybridMultilevel"/>
    <w:tmpl w:val="F0B4B274"/>
    <w:numStyleLink w:val="Zaimportowanystyl3"/>
  </w:abstractNum>
  <w:abstractNum w:abstractNumId="23" w15:restartNumberingAfterBreak="0">
    <w:nsid w:val="235E073B"/>
    <w:multiLevelType w:val="hybridMultilevel"/>
    <w:tmpl w:val="2A161A1A"/>
    <w:styleLink w:val="Zaimportowanystyl14"/>
    <w:lvl w:ilvl="0" w:tplc="9CE8128A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6E0EA">
      <w:start w:val="1"/>
      <w:numFmt w:val="lowerLetter"/>
      <w:lvlText w:val="%2."/>
      <w:lvlJc w:val="left"/>
      <w:pPr>
        <w:tabs>
          <w:tab w:val="left" w:pos="851"/>
        </w:tabs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C3B5A">
      <w:start w:val="1"/>
      <w:numFmt w:val="lowerRoman"/>
      <w:lvlText w:val="%3."/>
      <w:lvlJc w:val="left"/>
      <w:pPr>
        <w:tabs>
          <w:tab w:val="left" w:pos="851"/>
        </w:tabs>
        <w:ind w:left="229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48CE5A">
      <w:start w:val="1"/>
      <w:numFmt w:val="decimal"/>
      <w:lvlText w:val="%4."/>
      <w:lvlJc w:val="left"/>
      <w:pPr>
        <w:tabs>
          <w:tab w:val="left" w:pos="851"/>
        </w:tabs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2565E">
      <w:start w:val="1"/>
      <w:numFmt w:val="lowerLetter"/>
      <w:lvlText w:val="%5."/>
      <w:lvlJc w:val="left"/>
      <w:pPr>
        <w:tabs>
          <w:tab w:val="left" w:pos="851"/>
        </w:tabs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3A3734">
      <w:start w:val="1"/>
      <w:numFmt w:val="lowerRoman"/>
      <w:lvlText w:val="%6."/>
      <w:lvlJc w:val="left"/>
      <w:pPr>
        <w:tabs>
          <w:tab w:val="left" w:pos="851"/>
        </w:tabs>
        <w:ind w:left="445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C3B3A">
      <w:start w:val="1"/>
      <w:numFmt w:val="decimal"/>
      <w:lvlText w:val="%7."/>
      <w:lvlJc w:val="left"/>
      <w:pPr>
        <w:tabs>
          <w:tab w:val="left" w:pos="851"/>
        </w:tabs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81CA0">
      <w:start w:val="1"/>
      <w:numFmt w:val="lowerLetter"/>
      <w:lvlText w:val="%8."/>
      <w:lvlJc w:val="left"/>
      <w:pPr>
        <w:tabs>
          <w:tab w:val="left" w:pos="851"/>
        </w:tabs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0FE70">
      <w:start w:val="1"/>
      <w:numFmt w:val="lowerRoman"/>
      <w:lvlText w:val="%9."/>
      <w:lvlJc w:val="left"/>
      <w:pPr>
        <w:tabs>
          <w:tab w:val="left" w:pos="851"/>
        </w:tabs>
        <w:ind w:left="661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42F56AB"/>
    <w:multiLevelType w:val="hybridMultilevel"/>
    <w:tmpl w:val="D654E556"/>
    <w:numStyleLink w:val="Zaimportowanystyl30"/>
  </w:abstractNum>
  <w:abstractNum w:abstractNumId="25" w15:restartNumberingAfterBreak="0">
    <w:nsid w:val="25392F88"/>
    <w:multiLevelType w:val="hybridMultilevel"/>
    <w:tmpl w:val="5992A678"/>
    <w:numStyleLink w:val="Zaimportowanystyl37"/>
  </w:abstractNum>
  <w:abstractNum w:abstractNumId="26" w15:restartNumberingAfterBreak="0">
    <w:nsid w:val="25AE2EEF"/>
    <w:multiLevelType w:val="hybridMultilevel"/>
    <w:tmpl w:val="9496DC3E"/>
    <w:styleLink w:val="Zaimportowanystyl36"/>
    <w:lvl w:ilvl="0" w:tplc="CF047ECC">
      <w:start w:val="1"/>
      <w:numFmt w:val="decimal"/>
      <w:lvlText w:val="%1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C0E022">
      <w:start w:val="1"/>
      <w:numFmt w:val="decimal"/>
      <w:lvlText w:val="%2)"/>
      <w:lvlJc w:val="left"/>
      <w:pPr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C0AB2">
      <w:start w:val="1"/>
      <w:numFmt w:val="lowerRoman"/>
      <w:lvlText w:val="%3."/>
      <w:lvlJc w:val="left"/>
      <w:pPr>
        <w:ind w:left="21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AE420">
      <w:start w:val="1"/>
      <w:numFmt w:val="decimal"/>
      <w:lvlText w:val="%4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47F52">
      <w:start w:val="1"/>
      <w:numFmt w:val="lowerLetter"/>
      <w:lvlText w:val="%5."/>
      <w:lvlJc w:val="left"/>
      <w:pPr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20E">
      <w:start w:val="1"/>
      <w:numFmt w:val="lowerRoman"/>
      <w:lvlText w:val="%6."/>
      <w:lvlJc w:val="left"/>
      <w:pPr>
        <w:ind w:left="432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097E4">
      <w:start w:val="1"/>
      <w:numFmt w:val="decimal"/>
      <w:lvlText w:val="%7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607046">
      <w:start w:val="1"/>
      <w:numFmt w:val="lowerLetter"/>
      <w:lvlText w:val="%8."/>
      <w:lvlJc w:val="left"/>
      <w:pPr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CE24E">
      <w:start w:val="1"/>
      <w:numFmt w:val="lowerRoman"/>
      <w:lvlText w:val="%9."/>
      <w:lvlJc w:val="left"/>
      <w:pPr>
        <w:ind w:left="64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6820964"/>
    <w:multiLevelType w:val="hybridMultilevel"/>
    <w:tmpl w:val="01BCDF34"/>
    <w:styleLink w:val="Zaimportowanystyl12"/>
    <w:lvl w:ilvl="0" w:tplc="80A83B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92EA68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D638EC">
      <w:start w:val="1"/>
      <w:numFmt w:val="lowerLetter"/>
      <w:lvlText w:val="%3)"/>
      <w:lvlJc w:val="left"/>
      <w:pPr>
        <w:ind w:left="2454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C8D480">
      <w:start w:val="1"/>
      <w:numFmt w:val="decimal"/>
      <w:lvlText w:val="%4."/>
      <w:lvlJc w:val="left"/>
      <w:pPr>
        <w:ind w:left="2994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A74C2">
      <w:start w:val="1"/>
      <w:numFmt w:val="lowerLetter"/>
      <w:lvlText w:val="%5."/>
      <w:lvlJc w:val="left"/>
      <w:pPr>
        <w:ind w:left="3714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F0545C">
      <w:start w:val="1"/>
      <w:numFmt w:val="lowerRoman"/>
      <w:lvlText w:val="%6."/>
      <w:lvlJc w:val="left"/>
      <w:pPr>
        <w:ind w:left="4434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2E747C">
      <w:start w:val="1"/>
      <w:numFmt w:val="decimal"/>
      <w:lvlText w:val="%7."/>
      <w:lvlJc w:val="left"/>
      <w:pPr>
        <w:ind w:left="5154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86990">
      <w:start w:val="1"/>
      <w:numFmt w:val="lowerLetter"/>
      <w:lvlText w:val="%8."/>
      <w:lvlJc w:val="left"/>
      <w:pPr>
        <w:ind w:left="5874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E2322">
      <w:start w:val="1"/>
      <w:numFmt w:val="lowerRoman"/>
      <w:lvlText w:val="%9."/>
      <w:lvlJc w:val="left"/>
      <w:pPr>
        <w:ind w:left="6594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6862BBC"/>
    <w:multiLevelType w:val="hybridMultilevel"/>
    <w:tmpl w:val="B52263A0"/>
    <w:numStyleLink w:val="Zaimportowanystyl35"/>
  </w:abstractNum>
  <w:abstractNum w:abstractNumId="29" w15:restartNumberingAfterBreak="0">
    <w:nsid w:val="27F23495"/>
    <w:multiLevelType w:val="hybridMultilevel"/>
    <w:tmpl w:val="F0B4B274"/>
    <w:styleLink w:val="Zaimportowanystyl3"/>
    <w:lvl w:ilvl="0" w:tplc="B928BD8A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66F9A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D69DD0">
      <w:start w:val="1"/>
      <w:numFmt w:val="lowerRoman"/>
      <w:lvlText w:val="%3."/>
      <w:lvlJc w:val="left"/>
      <w:pPr>
        <w:ind w:left="229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4817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D61F0A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8C178">
      <w:start w:val="1"/>
      <w:numFmt w:val="lowerRoman"/>
      <w:lvlText w:val="%6."/>
      <w:lvlJc w:val="left"/>
      <w:pPr>
        <w:ind w:left="445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ED0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F825B6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CFC20">
      <w:start w:val="1"/>
      <w:numFmt w:val="lowerRoman"/>
      <w:lvlText w:val="%9."/>
      <w:lvlJc w:val="left"/>
      <w:pPr>
        <w:ind w:left="661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8EF207D"/>
    <w:multiLevelType w:val="hybridMultilevel"/>
    <w:tmpl w:val="37066BEC"/>
    <w:styleLink w:val="Zaimportowanystyl5"/>
    <w:lvl w:ilvl="0" w:tplc="C0F280C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62EF6">
      <w:start w:val="1"/>
      <w:numFmt w:val="lowerLetter"/>
      <w:lvlText w:val="%2."/>
      <w:lvlJc w:val="left"/>
      <w:pPr>
        <w:ind w:left="12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7E0530">
      <w:start w:val="1"/>
      <w:numFmt w:val="lowerRoman"/>
      <w:lvlText w:val="%3."/>
      <w:lvlJc w:val="left"/>
      <w:pPr>
        <w:ind w:left="194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AA541A">
      <w:start w:val="1"/>
      <w:numFmt w:val="decimal"/>
      <w:lvlText w:val="%4."/>
      <w:lvlJc w:val="left"/>
      <w:pPr>
        <w:ind w:left="26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61BE2">
      <w:start w:val="1"/>
      <w:numFmt w:val="lowerLetter"/>
      <w:lvlText w:val="%5."/>
      <w:lvlJc w:val="left"/>
      <w:pPr>
        <w:ind w:left="33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AB8F2">
      <w:start w:val="1"/>
      <w:numFmt w:val="lowerRoman"/>
      <w:lvlText w:val="%6."/>
      <w:lvlJc w:val="left"/>
      <w:pPr>
        <w:ind w:left="410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6CA50">
      <w:start w:val="1"/>
      <w:numFmt w:val="decimal"/>
      <w:lvlText w:val="%7."/>
      <w:lvlJc w:val="left"/>
      <w:pPr>
        <w:ind w:left="48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24741E">
      <w:start w:val="1"/>
      <w:numFmt w:val="lowerLetter"/>
      <w:lvlText w:val="%8."/>
      <w:lvlJc w:val="left"/>
      <w:pPr>
        <w:ind w:left="554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4E2C2">
      <w:start w:val="1"/>
      <w:numFmt w:val="lowerRoman"/>
      <w:lvlText w:val="%9."/>
      <w:lvlJc w:val="left"/>
      <w:pPr>
        <w:ind w:left="626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8FB5C60"/>
    <w:multiLevelType w:val="hybridMultilevel"/>
    <w:tmpl w:val="4BF0BFFE"/>
    <w:styleLink w:val="Zaimportowanystyl25"/>
    <w:lvl w:ilvl="0" w:tplc="0F78F19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0E0EC">
      <w:start w:val="1"/>
      <w:numFmt w:val="decimal"/>
      <w:lvlText w:val="%2)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49604">
      <w:start w:val="1"/>
      <w:numFmt w:val="lowerRoman"/>
      <w:lvlText w:val="%3."/>
      <w:lvlJc w:val="left"/>
      <w:pPr>
        <w:tabs>
          <w:tab w:val="left" w:pos="426"/>
        </w:tabs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929F0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E9120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02C8A">
      <w:start w:val="1"/>
      <w:numFmt w:val="lowerRoman"/>
      <w:lvlText w:val="%6."/>
      <w:lvlJc w:val="left"/>
      <w:pPr>
        <w:tabs>
          <w:tab w:val="left" w:pos="426"/>
        </w:tabs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4CB04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CD7B0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A881C">
      <w:start w:val="1"/>
      <w:numFmt w:val="lowerRoman"/>
      <w:lvlText w:val="%9."/>
      <w:lvlJc w:val="left"/>
      <w:pPr>
        <w:tabs>
          <w:tab w:val="left" w:pos="426"/>
        </w:tabs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9E14EC1"/>
    <w:multiLevelType w:val="hybridMultilevel"/>
    <w:tmpl w:val="E7369E30"/>
    <w:numStyleLink w:val="Zaimportowanystyl7"/>
  </w:abstractNum>
  <w:abstractNum w:abstractNumId="33" w15:restartNumberingAfterBreak="0">
    <w:nsid w:val="2A5A013C"/>
    <w:multiLevelType w:val="hybridMultilevel"/>
    <w:tmpl w:val="DB68BF5C"/>
    <w:numStyleLink w:val="Zaimportowanystyl24"/>
  </w:abstractNum>
  <w:abstractNum w:abstractNumId="34" w15:restartNumberingAfterBreak="0">
    <w:nsid w:val="39750802"/>
    <w:multiLevelType w:val="hybridMultilevel"/>
    <w:tmpl w:val="CF0A3FBC"/>
    <w:numStyleLink w:val="Zaimportowanystyl2"/>
  </w:abstractNum>
  <w:abstractNum w:abstractNumId="35" w15:restartNumberingAfterBreak="0">
    <w:nsid w:val="3B223498"/>
    <w:multiLevelType w:val="hybridMultilevel"/>
    <w:tmpl w:val="F5123B22"/>
    <w:numStyleLink w:val="Zaimportowanystyl38"/>
  </w:abstractNum>
  <w:abstractNum w:abstractNumId="36" w15:restartNumberingAfterBreak="0">
    <w:nsid w:val="3D84412B"/>
    <w:multiLevelType w:val="hybridMultilevel"/>
    <w:tmpl w:val="8954D6C4"/>
    <w:numStyleLink w:val="Zaimportowanystyl11"/>
  </w:abstractNum>
  <w:abstractNum w:abstractNumId="37" w15:restartNumberingAfterBreak="0">
    <w:nsid w:val="3D9964B3"/>
    <w:multiLevelType w:val="hybridMultilevel"/>
    <w:tmpl w:val="E7369E30"/>
    <w:styleLink w:val="Zaimportowanystyl7"/>
    <w:lvl w:ilvl="0" w:tplc="3BAC948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E9A62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1B54">
      <w:start w:val="1"/>
      <w:numFmt w:val="lowerLetter"/>
      <w:lvlText w:val="%3)"/>
      <w:lvlJc w:val="left"/>
      <w:pPr>
        <w:tabs>
          <w:tab w:val="left" w:pos="426"/>
        </w:tabs>
        <w:ind w:left="20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AB834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E1248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8E0C2">
      <w:start w:val="1"/>
      <w:numFmt w:val="lowerRoman"/>
      <w:lvlText w:val="%6."/>
      <w:lvlJc w:val="left"/>
      <w:pPr>
        <w:tabs>
          <w:tab w:val="left" w:pos="426"/>
        </w:tabs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C4BE3E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2C78A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240F8">
      <w:start w:val="1"/>
      <w:numFmt w:val="lowerRoman"/>
      <w:lvlText w:val="%9."/>
      <w:lvlJc w:val="left"/>
      <w:pPr>
        <w:tabs>
          <w:tab w:val="left" w:pos="426"/>
        </w:tabs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EAE636A"/>
    <w:multiLevelType w:val="hybridMultilevel"/>
    <w:tmpl w:val="45B829C0"/>
    <w:styleLink w:val="Zaimportowanystyl31"/>
    <w:lvl w:ilvl="0" w:tplc="F1BA37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2B14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90053E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4EE4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6A2EF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A4E9C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0A0F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E4E2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0C90A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5BB479B"/>
    <w:multiLevelType w:val="hybridMultilevel"/>
    <w:tmpl w:val="AA1212E2"/>
    <w:styleLink w:val="Zaimportowanystyl13"/>
    <w:lvl w:ilvl="0" w:tplc="B8BEEBA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F899F0">
      <w:start w:val="1"/>
      <w:numFmt w:val="lowerLetter"/>
      <w:lvlText w:val="%2."/>
      <w:lvlJc w:val="left"/>
      <w:pPr>
        <w:ind w:left="12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20C88">
      <w:start w:val="1"/>
      <w:numFmt w:val="lowerRoman"/>
      <w:lvlText w:val="%3."/>
      <w:lvlJc w:val="left"/>
      <w:pPr>
        <w:ind w:left="194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6FF50">
      <w:start w:val="1"/>
      <w:numFmt w:val="decimal"/>
      <w:lvlText w:val="%4."/>
      <w:lvlJc w:val="left"/>
      <w:pPr>
        <w:ind w:left="26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83E74">
      <w:start w:val="1"/>
      <w:numFmt w:val="lowerLetter"/>
      <w:lvlText w:val="%5."/>
      <w:lvlJc w:val="left"/>
      <w:pPr>
        <w:ind w:left="33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AB04E">
      <w:start w:val="1"/>
      <w:numFmt w:val="lowerRoman"/>
      <w:lvlText w:val="%6."/>
      <w:lvlJc w:val="left"/>
      <w:pPr>
        <w:ind w:left="410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FC8B4E">
      <w:start w:val="1"/>
      <w:numFmt w:val="decimal"/>
      <w:lvlText w:val="%7."/>
      <w:lvlJc w:val="left"/>
      <w:pPr>
        <w:ind w:left="48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A4E10">
      <w:start w:val="1"/>
      <w:numFmt w:val="lowerLetter"/>
      <w:lvlText w:val="%8."/>
      <w:lvlJc w:val="left"/>
      <w:pPr>
        <w:ind w:left="554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6E2BA">
      <w:start w:val="1"/>
      <w:numFmt w:val="lowerRoman"/>
      <w:lvlText w:val="%9."/>
      <w:lvlJc w:val="left"/>
      <w:pPr>
        <w:ind w:left="6262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8356E7F"/>
    <w:multiLevelType w:val="hybridMultilevel"/>
    <w:tmpl w:val="45B829C0"/>
    <w:numStyleLink w:val="Zaimportowanystyl31"/>
  </w:abstractNum>
  <w:abstractNum w:abstractNumId="41" w15:restartNumberingAfterBreak="0">
    <w:nsid w:val="4A0E45F1"/>
    <w:multiLevelType w:val="hybridMultilevel"/>
    <w:tmpl w:val="E954E070"/>
    <w:styleLink w:val="Zaimportowanystyl23"/>
    <w:lvl w:ilvl="0" w:tplc="EE6E929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201D3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2C200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20FE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A552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B6B768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E51D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E0D1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0780E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A932DDE"/>
    <w:multiLevelType w:val="hybridMultilevel"/>
    <w:tmpl w:val="C1A0AA9C"/>
    <w:numStyleLink w:val="Zaimportowanystyl20"/>
  </w:abstractNum>
  <w:abstractNum w:abstractNumId="43" w15:restartNumberingAfterBreak="0">
    <w:nsid w:val="510E41A9"/>
    <w:multiLevelType w:val="hybridMultilevel"/>
    <w:tmpl w:val="8954D6C4"/>
    <w:styleLink w:val="Zaimportowanystyl11"/>
    <w:lvl w:ilvl="0" w:tplc="DD9C29F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A83594">
      <w:start w:val="1"/>
      <w:numFmt w:val="lowerLetter"/>
      <w:lvlText w:val="%2."/>
      <w:lvlJc w:val="left"/>
      <w:pPr>
        <w:tabs>
          <w:tab w:val="left" w:pos="851"/>
        </w:tabs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02868A">
      <w:start w:val="1"/>
      <w:numFmt w:val="lowerRoman"/>
      <w:lvlText w:val="%3."/>
      <w:lvlJc w:val="left"/>
      <w:pPr>
        <w:tabs>
          <w:tab w:val="left" w:pos="851"/>
        </w:tabs>
        <w:ind w:left="229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DE4E54">
      <w:start w:val="1"/>
      <w:numFmt w:val="decimal"/>
      <w:lvlText w:val="%4."/>
      <w:lvlJc w:val="left"/>
      <w:pPr>
        <w:tabs>
          <w:tab w:val="left" w:pos="851"/>
        </w:tabs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240B8">
      <w:start w:val="1"/>
      <w:numFmt w:val="lowerLetter"/>
      <w:lvlText w:val="%5."/>
      <w:lvlJc w:val="left"/>
      <w:pPr>
        <w:tabs>
          <w:tab w:val="left" w:pos="851"/>
        </w:tabs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4328E">
      <w:start w:val="1"/>
      <w:numFmt w:val="lowerRoman"/>
      <w:lvlText w:val="%6."/>
      <w:lvlJc w:val="left"/>
      <w:pPr>
        <w:tabs>
          <w:tab w:val="left" w:pos="851"/>
        </w:tabs>
        <w:ind w:left="445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EAD0E">
      <w:start w:val="1"/>
      <w:numFmt w:val="decimal"/>
      <w:lvlText w:val="%7."/>
      <w:lvlJc w:val="left"/>
      <w:pPr>
        <w:tabs>
          <w:tab w:val="left" w:pos="851"/>
        </w:tabs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2048A">
      <w:start w:val="1"/>
      <w:numFmt w:val="lowerLetter"/>
      <w:lvlText w:val="%8."/>
      <w:lvlJc w:val="left"/>
      <w:pPr>
        <w:tabs>
          <w:tab w:val="left" w:pos="851"/>
        </w:tabs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0179A">
      <w:start w:val="1"/>
      <w:numFmt w:val="lowerRoman"/>
      <w:lvlText w:val="%9."/>
      <w:lvlJc w:val="left"/>
      <w:pPr>
        <w:tabs>
          <w:tab w:val="left" w:pos="851"/>
        </w:tabs>
        <w:ind w:left="661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17C48D0"/>
    <w:multiLevelType w:val="hybridMultilevel"/>
    <w:tmpl w:val="2A161A1A"/>
    <w:numStyleLink w:val="Zaimportowanystyl14"/>
  </w:abstractNum>
  <w:abstractNum w:abstractNumId="45" w15:restartNumberingAfterBreak="0">
    <w:nsid w:val="51AF721F"/>
    <w:multiLevelType w:val="hybridMultilevel"/>
    <w:tmpl w:val="E34467AC"/>
    <w:styleLink w:val="Zaimportowanystyl17"/>
    <w:lvl w:ilvl="0" w:tplc="B74ECF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6092E8">
      <w:start w:val="1"/>
      <w:numFmt w:val="decimal"/>
      <w:lvlText w:val="%2)"/>
      <w:lvlJc w:val="left"/>
      <w:pPr>
        <w:ind w:left="150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82AAC">
      <w:start w:val="1"/>
      <w:numFmt w:val="lowerLetter"/>
      <w:lvlText w:val="%3)"/>
      <w:lvlJc w:val="left"/>
      <w:pPr>
        <w:ind w:left="3105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448D4">
      <w:start w:val="1"/>
      <w:numFmt w:val="decimal"/>
      <w:lvlText w:val="%4."/>
      <w:lvlJc w:val="left"/>
      <w:pPr>
        <w:ind w:left="3645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4E32C">
      <w:start w:val="1"/>
      <w:numFmt w:val="lowerLetter"/>
      <w:lvlText w:val="%5."/>
      <w:lvlJc w:val="left"/>
      <w:pPr>
        <w:ind w:left="4365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6434C">
      <w:start w:val="1"/>
      <w:numFmt w:val="lowerRoman"/>
      <w:lvlText w:val="%6."/>
      <w:lvlJc w:val="left"/>
      <w:pPr>
        <w:ind w:left="5085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261AE">
      <w:start w:val="1"/>
      <w:numFmt w:val="decimal"/>
      <w:lvlText w:val="%7."/>
      <w:lvlJc w:val="left"/>
      <w:pPr>
        <w:ind w:left="5805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0FE8C">
      <w:start w:val="1"/>
      <w:numFmt w:val="lowerLetter"/>
      <w:lvlText w:val="%8."/>
      <w:lvlJc w:val="left"/>
      <w:pPr>
        <w:ind w:left="6525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A73EA">
      <w:start w:val="1"/>
      <w:numFmt w:val="lowerRoman"/>
      <w:lvlText w:val="%9."/>
      <w:lvlJc w:val="left"/>
      <w:pPr>
        <w:ind w:left="7245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2DC18C0"/>
    <w:multiLevelType w:val="hybridMultilevel"/>
    <w:tmpl w:val="E34467AC"/>
    <w:numStyleLink w:val="Zaimportowanystyl17"/>
  </w:abstractNum>
  <w:abstractNum w:abstractNumId="47" w15:restartNumberingAfterBreak="0">
    <w:nsid w:val="549F2B9C"/>
    <w:multiLevelType w:val="hybridMultilevel"/>
    <w:tmpl w:val="5F6C4422"/>
    <w:styleLink w:val="Zaimportowanystyl33"/>
    <w:lvl w:ilvl="0" w:tplc="477E2538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27AB2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92F342">
      <w:start w:val="1"/>
      <w:numFmt w:val="lowerRoman"/>
      <w:lvlText w:val="%3."/>
      <w:lvlJc w:val="left"/>
      <w:pPr>
        <w:ind w:left="186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649F2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667D28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44F28">
      <w:start w:val="1"/>
      <w:numFmt w:val="lowerRoman"/>
      <w:lvlText w:val="%6."/>
      <w:lvlJc w:val="left"/>
      <w:pPr>
        <w:ind w:left="402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FE6006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A912A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CA49E">
      <w:start w:val="1"/>
      <w:numFmt w:val="lowerRoman"/>
      <w:lvlText w:val="%9."/>
      <w:lvlJc w:val="left"/>
      <w:pPr>
        <w:ind w:left="6186" w:hanging="3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8C00AC3"/>
    <w:multiLevelType w:val="hybridMultilevel"/>
    <w:tmpl w:val="9496DC3E"/>
    <w:numStyleLink w:val="Zaimportowanystyl36"/>
  </w:abstractNum>
  <w:abstractNum w:abstractNumId="49" w15:restartNumberingAfterBreak="0">
    <w:nsid w:val="58FB537B"/>
    <w:multiLevelType w:val="hybridMultilevel"/>
    <w:tmpl w:val="07DA905C"/>
    <w:numStyleLink w:val="Zaimportowanystyl34"/>
  </w:abstractNum>
  <w:abstractNum w:abstractNumId="50" w15:restartNumberingAfterBreak="0">
    <w:nsid w:val="598D3E39"/>
    <w:multiLevelType w:val="hybridMultilevel"/>
    <w:tmpl w:val="5F6C4422"/>
    <w:numStyleLink w:val="Zaimportowanystyl33"/>
  </w:abstractNum>
  <w:abstractNum w:abstractNumId="51" w15:restartNumberingAfterBreak="0">
    <w:nsid w:val="59EC6AD6"/>
    <w:multiLevelType w:val="hybridMultilevel"/>
    <w:tmpl w:val="BA4C9908"/>
    <w:styleLink w:val="Zaimportowanystyl32"/>
    <w:lvl w:ilvl="0" w:tplc="4C1071CA">
      <w:start w:val="1"/>
      <w:numFmt w:val="bullet"/>
      <w:lvlText w:val="-"/>
      <w:lvlJc w:val="left"/>
      <w:pPr>
        <w:ind w:left="709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641F2">
      <w:start w:val="1"/>
      <w:numFmt w:val="bullet"/>
      <w:lvlText w:val="o"/>
      <w:lvlJc w:val="left"/>
      <w:pPr>
        <w:ind w:left="1429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41F72">
      <w:start w:val="1"/>
      <w:numFmt w:val="bullet"/>
      <w:lvlText w:val="▪"/>
      <w:lvlJc w:val="left"/>
      <w:pPr>
        <w:ind w:left="2149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8FF8C">
      <w:start w:val="1"/>
      <w:numFmt w:val="bullet"/>
      <w:lvlText w:val="·"/>
      <w:lvlJc w:val="left"/>
      <w:pPr>
        <w:ind w:left="2869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467D6">
      <w:start w:val="1"/>
      <w:numFmt w:val="bullet"/>
      <w:lvlText w:val="o"/>
      <w:lvlJc w:val="left"/>
      <w:pPr>
        <w:ind w:left="3589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292E6">
      <w:start w:val="1"/>
      <w:numFmt w:val="bullet"/>
      <w:lvlText w:val="▪"/>
      <w:lvlJc w:val="left"/>
      <w:pPr>
        <w:ind w:left="4309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541FA6">
      <w:start w:val="1"/>
      <w:numFmt w:val="bullet"/>
      <w:lvlText w:val="·"/>
      <w:lvlJc w:val="left"/>
      <w:pPr>
        <w:ind w:left="5029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AE4EA">
      <w:start w:val="1"/>
      <w:numFmt w:val="bullet"/>
      <w:lvlText w:val="o"/>
      <w:lvlJc w:val="left"/>
      <w:pPr>
        <w:ind w:left="5749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A16EC">
      <w:start w:val="1"/>
      <w:numFmt w:val="bullet"/>
      <w:lvlText w:val="▪"/>
      <w:lvlJc w:val="left"/>
      <w:pPr>
        <w:ind w:left="6469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AA944EC"/>
    <w:multiLevelType w:val="hybridMultilevel"/>
    <w:tmpl w:val="276817F8"/>
    <w:numStyleLink w:val="Zaimportowanystyl10"/>
  </w:abstractNum>
  <w:abstractNum w:abstractNumId="53" w15:restartNumberingAfterBreak="0">
    <w:nsid w:val="5C200338"/>
    <w:multiLevelType w:val="hybridMultilevel"/>
    <w:tmpl w:val="4F1A0032"/>
    <w:styleLink w:val="Zaimportowanystyl9"/>
    <w:lvl w:ilvl="0" w:tplc="CB3E8B3A">
      <w:start w:val="1"/>
      <w:numFmt w:val="decimal"/>
      <w:lvlText w:val="%1."/>
      <w:lvlJc w:val="left"/>
      <w:pPr>
        <w:tabs>
          <w:tab w:val="left" w:pos="10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00B330">
      <w:start w:val="1"/>
      <w:numFmt w:val="decimal"/>
      <w:lvlText w:val="%2."/>
      <w:lvlJc w:val="left"/>
      <w:pPr>
        <w:tabs>
          <w:tab w:val="left" w:pos="1080"/>
        </w:tabs>
        <w:ind w:left="1077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6BA4E">
      <w:start w:val="1"/>
      <w:numFmt w:val="lowerRoman"/>
      <w:lvlText w:val="%3."/>
      <w:lvlJc w:val="left"/>
      <w:pPr>
        <w:tabs>
          <w:tab w:val="left" w:pos="1080"/>
        </w:tabs>
        <w:ind w:left="179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AE760">
      <w:start w:val="1"/>
      <w:numFmt w:val="decimal"/>
      <w:lvlText w:val="%4."/>
      <w:lvlJc w:val="left"/>
      <w:pPr>
        <w:tabs>
          <w:tab w:val="left" w:pos="108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AC8B2">
      <w:start w:val="1"/>
      <w:numFmt w:val="lowerLetter"/>
      <w:lvlText w:val="%5."/>
      <w:lvlJc w:val="left"/>
      <w:pPr>
        <w:tabs>
          <w:tab w:val="left" w:pos="108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6BDB4">
      <w:start w:val="1"/>
      <w:numFmt w:val="lowerRoman"/>
      <w:lvlText w:val="%6."/>
      <w:lvlJc w:val="left"/>
      <w:pPr>
        <w:tabs>
          <w:tab w:val="left" w:pos="1080"/>
        </w:tabs>
        <w:ind w:left="395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D820D8">
      <w:start w:val="1"/>
      <w:numFmt w:val="decimal"/>
      <w:lvlText w:val="%7."/>
      <w:lvlJc w:val="left"/>
      <w:pPr>
        <w:tabs>
          <w:tab w:val="left" w:pos="108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24E0E">
      <w:start w:val="1"/>
      <w:numFmt w:val="lowerLetter"/>
      <w:lvlText w:val="%8."/>
      <w:lvlJc w:val="left"/>
      <w:pPr>
        <w:tabs>
          <w:tab w:val="left" w:pos="108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8801C8">
      <w:start w:val="1"/>
      <w:numFmt w:val="lowerRoman"/>
      <w:lvlText w:val="%9."/>
      <w:lvlJc w:val="left"/>
      <w:pPr>
        <w:tabs>
          <w:tab w:val="left" w:pos="1080"/>
        </w:tabs>
        <w:ind w:left="611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D2179F1"/>
    <w:multiLevelType w:val="hybridMultilevel"/>
    <w:tmpl w:val="AED6DCBC"/>
    <w:numStyleLink w:val="Zaimportowanystyl6"/>
  </w:abstractNum>
  <w:abstractNum w:abstractNumId="55" w15:restartNumberingAfterBreak="0">
    <w:nsid w:val="5E0F395B"/>
    <w:multiLevelType w:val="hybridMultilevel"/>
    <w:tmpl w:val="3E000CF0"/>
    <w:numStyleLink w:val="Zaimportowanystyl1"/>
  </w:abstractNum>
  <w:abstractNum w:abstractNumId="56" w15:restartNumberingAfterBreak="0">
    <w:nsid w:val="60363426"/>
    <w:multiLevelType w:val="hybridMultilevel"/>
    <w:tmpl w:val="23A025DC"/>
    <w:numStyleLink w:val="Zaimportowanystyl28"/>
  </w:abstractNum>
  <w:abstractNum w:abstractNumId="57" w15:restartNumberingAfterBreak="0">
    <w:nsid w:val="61426865"/>
    <w:multiLevelType w:val="hybridMultilevel"/>
    <w:tmpl w:val="324CD5AA"/>
    <w:numStyleLink w:val="Zaimportowanystyl21"/>
  </w:abstractNum>
  <w:abstractNum w:abstractNumId="58" w15:restartNumberingAfterBreak="0">
    <w:nsid w:val="62EB2A03"/>
    <w:multiLevelType w:val="hybridMultilevel"/>
    <w:tmpl w:val="F5123B22"/>
    <w:styleLink w:val="Zaimportowanystyl38"/>
    <w:lvl w:ilvl="0" w:tplc="FB02116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C9BDC">
      <w:start w:val="1"/>
      <w:numFmt w:val="lowerLetter"/>
      <w:lvlText w:val="%2."/>
      <w:lvlJc w:val="left"/>
      <w:pPr>
        <w:ind w:left="50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08698">
      <w:start w:val="1"/>
      <w:numFmt w:val="lowerRoman"/>
      <w:lvlText w:val="%3."/>
      <w:lvlJc w:val="left"/>
      <w:pPr>
        <w:ind w:left="122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80B46E">
      <w:start w:val="1"/>
      <w:numFmt w:val="decimal"/>
      <w:lvlText w:val="%4."/>
      <w:lvlJc w:val="left"/>
      <w:pPr>
        <w:ind w:left="194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CD1F8">
      <w:start w:val="1"/>
      <w:numFmt w:val="lowerLetter"/>
      <w:lvlText w:val="%5."/>
      <w:lvlJc w:val="left"/>
      <w:pPr>
        <w:ind w:left="266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F2E9CC">
      <w:start w:val="1"/>
      <w:numFmt w:val="lowerRoman"/>
      <w:lvlText w:val="%6."/>
      <w:lvlJc w:val="left"/>
      <w:pPr>
        <w:ind w:left="338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582D96">
      <w:start w:val="1"/>
      <w:numFmt w:val="decimal"/>
      <w:lvlText w:val="%7."/>
      <w:lvlJc w:val="left"/>
      <w:pPr>
        <w:ind w:left="410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6B50E">
      <w:start w:val="1"/>
      <w:numFmt w:val="lowerLetter"/>
      <w:lvlText w:val="%8."/>
      <w:lvlJc w:val="left"/>
      <w:pPr>
        <w:ind w:left="482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689E2">
      <w:start w:val="1"/>
      <w:numFmt w:val="lowerRoman"/>
      <w:lvlText w:val="%9."/>
      <w:lvlJc w:val="left"/>
      <w:pPr>
        <w:ind w:left="5541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3667D23"/>
    <w:multiLevelType w:val="hybridMultilevel"/>
    <w:tmpl w:val="DB68BF5C"/>
    <w:styleLink w:val="Zaimportowanystyl24"/>
    <w:lvl w:ilvl="0" w:tplc="C922B592">
      <w:start w:val="1"/>
      <w:numFmt w:val="bullet"/>
      <w:lvlText w:val="-"/>
      <w:lvlJc w:val="left"/>
      <w:pPr>
        <w:ind w:left="8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2C03E">
      <w:start w:val="1"/>
      <w:numFmt w:val="bullet"/>
      <w:lvlText w:val="o"/>
      <w:lvlJc w:val="left"/>
      <w:pPr>
        <w:ind w:left="15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4A1B8">
      <w:start w:val="1"/>
      <w:numFmt w:val="bullet"/>
      <w:lvlText w:val="▪"/>
      <w:lvlJc w:val="left"/>
      <w:pPr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2690C">
      <w:start w:val="1"/>
      <w:numFmt w:val="bullet"/>
      <w:lvlText w:val="·"/>
      <w:lvlJc w:val="left"/>
      <w:pPr>
        <w:ind w:left="30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CCB94">
      <w:start w:val="1"/>
      <w:numFmt w:val="bullet"/>
      <w:lvlText w:val="o"/>
      <w:lvlJc w:val="left"/>
      <w:pPr>
        <w:ind w:left="37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D60D74">
      <w:start w:val="1"/>
      <w:numFmt w:val="bullet"/>
      <w:lvlText w:val="▪"/>
      <w:lvlJc w:val="left"/>
      <w:pPr>
        <w:ind w:left="44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CC10E">
      <w:start w:val="1"/>
      <w:numFmt w:val="bullet"/>
      <w:lvlText w:val="·"/>
      <w:lvlJc w:val="left"/>
      <w:pPr>
        <w:ind w:left="51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56D9F8">
      <w:start w:val="1"/>
      <w:numFmt w:val="bullet"/>
      <w:lvlText w:val="o"/>
      <w:lvlJc w:val="left"/>
      <w:pPr>
        <w:ind w:left="58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90101A">
      <w:start w:val="1"/>
      <w:numFmt w:val="bullet"/>
      <w:lvlText w:val="▪"/>
      <w:lvlJc w:val="left"/>
      <w:pPr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3ED4EEC"/>
    <w:multiLevelType w:val="hybridMultilevel"/>
    <w:tmpl w:val="CF0A3FBC"/>
    <w:styleLink w:val="Zaimportowanystyl2"/>
    <w:lvl w:ilvl="0" w:tplc="6DEEC79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78184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E39B2">
      <w:start w:val="1"/>
      <w:numFmt w:val="lowerRoman"/>
      <w:lvlText w:val="%3."/>
      <w:lvlJc w:val="left"/>
      <w:pPr>
        <w:ind w:left="229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89CD2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C8D50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C4EAA">
      <w:start w:val="1"/>
      <w:numFmt w:val="lowerRoman"/>
      <w:lvlText w:val="%6."/>
      <w:lvlJc w:val="left"/>
      <w:pPr>
        <w:ind w:left="445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E5CC2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EAE84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61664">
      <w:start w:val="1"/>
      <w:numFmt w:val="lowerRoman"/>
      <w:lvlText w:val="%9."/>
      <w:lvlJc w:val="left"/>
      <w:pPr>
        <w:ind w:left="661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4EF64B5"/>
    <w:multiLevelType w:val="hybridMultilevel"/>
    <w:tmpl w:val="62A84BBE"/>
    <w:styleLink w:val="Zaimportowanystyl40"/>
    <w:lvl w:ilvl="0" w:tplc="3AAC5F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0605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4D3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B604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B4B6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86C8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43C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6BF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81AD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5E606F7"/>
    <w:multiLevelType w:val="hybridMultilevel"/>
    <w:tmpl w:val="D654E556"/>
    <w:styleLink w:val="Zaimportowanystyl30"/>
    <w:lvl w:ilvl="0" w:tplc="B628D38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2CE1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B896FC">
      <w:start w:val="1"/>
      <w:numFmt w:val="lowerRoman"/>
      <w:lvlText w:val="%3."/>
      <w:lvlJc w:val="left"/>
      <w:pPr>
        <w:ind w:left="214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641C3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4CC70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3EB4">
      <w:start w:val="1"/>
      <w:numFmt w:val="lowerRoman"/>
      <w:lvlText w:val="%6."/>
      <w:lvlJc w:val="left"/>
      <w:pPr>
        <w:ind w:left="430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C0B0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3AF110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3604">
      <w:start w:val="1"/>
      <w:numFmt w:val="lowerRoman"/>
      <w:lvlText w:val="%9."/>
      <w:lvlJc w:val="left"/>
      <w:pPr>
        <w:ind w:left="646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5FD773D"/>
    <w:multiLevelType w:val="hybridMultilevel"/>
    <w:tmpl w:val="01BCDF34"/>
    <w:numStyleLink w:val="Zaimportowanystyl12"/>
  </w:abstractNum>
  <w:abstractNum w:abstractNumId="64" w15:restartNumberingAfterBreak="0">
    <w:nsid w:val="6D250148"/>
    <w:multiLevelType w:val="hybridMultilevel"/>
    <w:tmpl w:val="4A04F188"/>
    <w:numStyleLink w:val="Zaimportowanystyl15"/>
  </w:abstractNum>
  <w:abstractNum w:abstractNumId="65" w15:restartNumberingAfterBreak="0">
    <w:nsid w:val="6E1B4B49"/>
    <w:multiLevelType w:val="hybridMultilevel"/>
    <w:tmpl w:val="599E9208"/>
    <w:numStyleLink w:val="Zaimportowanystyl29"/>
  </w:abstractNum>
  <w:abstractNum w:abstractNumId="66" w15:restartNumberingAfterBreak="0">
    <w:nsid w:val="6F211624"/>
    <w:multiLevelType w:val="hybridMultilevel"/>
    <w:tmpl w:val="37066BEC"/>
    <w:numStyleLink w:val="Zaimportowanystyl5"/>
  </w:abstractNum>
  <w:abstractNum w:abstractNumId="67" w15:restartNumberingAfterBreak="0">
    <w:nsid w:val="6FB07C52"/>
    <w:multiLevelType w:val="hybridMultilevel"/>
    <w:tmpl w:val="5992A678"/>
    <w:styleLink w:val="Zaimportowanystyl37"/>
    <w:lvl w:ilvl="0" w:tplc="D9F8BF5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AC53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8C474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61CD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86DA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CA6242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E6FA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E00C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E29BC6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0901606"/>
    <w:multiLevelType w:val="hybridMultilevel"/>
    <w:tmpl w:val="50600294"/>
    <w:styleLink w:val="Zaimportowanystyl39"/>
    <w:lvl w:ilvl="0" w:tplc="33D4D2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2B2F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E0438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ABD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854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1601AA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AD1B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6624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18619C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096088C"/>
    <w:multiLevelType w:val="hybridMultilevel"/>
    <w:tmpl w:val="07DA905C"/>
    <w:styleLink w:val="Zaimportowanystyl34"/>
    <w:lvl w:ilvl="0" w:tplc="8A80BD94">
      <w:start w:val="1"/>
      <w:numFmt w:val="decimal"/>
      <w:lvlText w:val="%1)"/>
      <w:lvlJc w:val="left"/>
      <w:pPr>
        <w:ind w:left="78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A4E490">
      <w:start w:val="1"/>
      <w:numFmt w:val="lowerLetter"/>
      <w:lvlText w:val="%2."/>
      <w:lvlJc w:val="left"/>
      <w:pPr>
        <w:ind w:left="150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324E7C">
      <w:start w:val="1"/>
      <w:numFmt w:val="lowerRoman"/>
      <w:lvlText w:val="%3."/>
      <w:lvlJc w:val="left"/>
      <w:pPr>
        <w:ind w:left="222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9ABB32">
      <w:start w:val="1"/>
      <w:numFmt w:val="decimal"/>
      <w:lvlText w:val="%4."/>
      <w:lvlJc w:val="left"/>
      <w:pPr>
        <w:ind w:left="294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B8A11C">
      <w:start w:val="1"/>
      <w:numFmt w:val="lowerLetter"/>
      <w:lvlText w:val="%5."/>
      <w:lvlJc w:val="left"/>
      <w:pPr>
        <w:ind w:left="366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5F06">
      <w:start w:val="1"/>
      <w:numFmt w:val="lowerRoman"/>
      <w:lvlText w:val="%6."/>
      <w:lvlJc w:val="left"/>
      <w:pPr>
        <w:ind w:left="438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BFAE">
      <w:start w:val="1"/>
      <w:numFmt w:val="decimal"/>
      <w:lvlText w:val="%7."/>
      <w:lvlJc w:val="left"/>
      <w:pPr>
        <w:ind w:left="510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9E0E68">
      <w:start w:val="1"/>
      <w:numFmt w:val="lowerLetter"/>
      <w:lvlText w:val="%8."/>
      <w:lvlJc w:val="left"/>
      <w:pPr>
        <w:ind w:left="582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CC684">
      <w:start w:val="1"/>
      <w:numFmt w:val="lowerRoman"/>
      <w:lvlText w:val="%9."/>
      <w:lvlJc w:val="left"/>
      <w:pPr>
        <w:ind w:left="6542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2AB5059"/>
    <w:multiLevelType w:val="hybridMultilevel"/>
    <w:tmpl w:val="4A04F188"/>
    <w:styleLink w:val="Zaimportowanystyl15"/>
    <w:lvl w:ilvl="0" w:tplc="B224C1EA">
      <w:start w:val="1"/>
      <w:numFmt w:val="lowerLetter"/>
      <w:lvlText w:val="%1)"/>
      <w:lvlJc w:val="left"/>
      <w:pPr>
        <w:tabs>
          <w:tab w:val="left" w:pos="851"/>
          <w:tab w:val="num" w:pos="1134"/>
        </w:tabs>
        <w:ind w:left="85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700D10">
      <w:start w:val="1"/>
      <w:numFmt w:val="lowerLetter"/>
      <w:lvlText w:val="%2."/>
      <w:lvlJc w:val="left"/>
      <w:pPr>
        <w:tabs>
          <w:tab w:val="left" w:pos="851"/>
          <w:tab w:val="left" w:pos="1134"/>
        </w:tabs>
        <w:ind w:left="1571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4D1CA">
      <w:start w:val="1"/>
      <w:numFmt w:val="lowerRoman"/>
      <w:lvlText w:val="%3."/>
      <w:lvlJc w:val="left"/>
      <w:pPr>
        <w:tabs>
          <w:tab w:val="left" w:pos="851"/>
          <w:tab w:val="left" w:pos="1134"/>
        </w:tabs>
        <w:ind w:left="22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AD926">
      <w:start w:val="1"/>
      <w:numFmt w:val="decimal"/>
      <w:lvlText w:val="%4."/>
      <w:lvlJc w:val="left"/>
      <w:pPr>
        <w:tabs>
          <w:tab w:val="left" w:pos="851"/>
          <w:tab w:val="left" w:pos="1134"/>
        </w:tabs>
        <w:ind w:left="3011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895BC">
      <w:start w:val="1"/>
      <w:numFmt w:val="lowerLetter"/>
      <w:lvlText w:val="%5."/>
      <w:lvlJc w:val="left"/>
      <w:pPr>
        <w:tabs>
          <w:tab w:val="left" w:pos="851"/>
          <w:tab w:val="left" w:pos="1134"/>
        </w:tabs>
        <w:ind w:left="3731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691B6">
      <w:start w:val="1"/>
      <w:numFmt w:val="lowerRoman"/>
      <w:lvlText w:val="%6."/>
      <w:lvlJc w:val="left"/>
      <w:pPr>
        <w:tabs>
          <w:tab w:val="left" w:pos="851"/>
          <w:tab w:val="left" w:pos="1134"/>
          <w:tab w:val="num" w:pos="4734"/>
        </w:tabs>
        <w:ind w:left="4451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A54C0">
      <w:start w:val="1"/>
      <w:numFmt w:val="decimal"/>
      <w:lvlText w:val="%7."/>
      <w:lvlJc w:val="left"/>
      <w:pPr>
        <w:tabs>
          <w:tab w:val="left" w:pos="851"/>
          <w:tab w:val="left" w:pos="1134"/>
        </w:tabs>
        <w:ind w:left="517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69078">
      <w:start w:val="1"/>
      <w:numFmt w:val="lowerLetter"/>
      <w:lvlText w:val="%8."/>
      <w:lvlJc w:val="left"/>
      <w:pPr>
        <w:tabs>
          <w:tab w:val="left" w:pos="851"/>
          <w:tab w:val="left" w:pos="1134"/>
        </w:tabs>
        <w:ind w:left="5891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E8CA0">
      <w:start w:val="1"/>
      <w:numFmt w:val="lowerRoman"/>
      <w:lvlText w:val="%9."/>
      <w:lvlJc w:val="left"/>
      <w:pPr>
        <w:tabs>
          <w:tab w:val="left" w:pos="851"/>
          <w:tab w:val="left" w:pos="1134"/>
          <w:tab w:val="num" w:pos="6894"/>
        </w:tabs>
        <w:ind w:left="6611" w:hanging="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4343667"/>
    <w:multiLevelType w:val="hybridMultilevel"/>
    <w:tmpl w:val="87FC458E"/>
    <w:styleLink w:val="Zaimportowanystyl19"/>
    <w:lvl w:ilvl="0" w:tplc="DE7247C8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6E446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4EFF4">
      <w:start w:val="1"/>
      <w:numFmt w:val="lowerRoman"/>
      <w:lvlText w:val="%3."/>
      <w:lvlJc w:val="left"/>
      <w:pPr>
        <w:ind w:left="222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47238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67F9E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01D72">
      <w:start w:val="1"/>
      <w:numFmt w:val="lowerRoman"/>
      <w:lvlText w:val="%6."/>
      <w:lvlJc w:val="left"/>
      <w:pPr>
        <w:ind w:left="438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418A0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457A4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0CA">
      <w:start w:val="1"/>
      <w:numFmt w:val="lowerRoman"/>
      <w:lvlText w:val="%9."/>
      <w:lvlJc w:val="left"/>
      <w:pPr>
        <w:ind w:left="654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4B76DA1"/>
    <w:multiLevelType w:val="hybridMultilevel"/>
    <w:tmpl w:val="255493FE"/>
    <w:styleLink w:val="Zaimportowanystyl22"/>
    <w:lvl w:ilvl="0" w:tplc="1BE231A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4CDD4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E2E98">
      <w:start w:val="1"/>
      <w:numFmt w:val="lowerRoman"/>
      <w:lvlText w:val="%3."/>
      <w:lvlJc w:val="left"/>
      <w:pPr>
        <w:ind w:left="229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6E11E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83F6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ACEE8">
      <w:start w:val="1"/>
      <w:numFmt w:val="lowerRoman"/>
      <w:lvlText w:val="%6."/>
      <w:lvlJc w:val="left"/>
      <w:pPr>
        <w:ind w:left="445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42036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AC500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A375C">
      <w:start w:val="1"/>
      <w:numFmt w:val="lowerRoman"/>
      <w:lvlText w:val="%9."/>
      <w:lvlJc w:val="left"/>
      <w:pPr>
        <w:ind w:left="661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6E03221"/>
    <w:multiLevelType w:val="hybridMultilevel"/>
    <w:tmpl w:val="C1A0AA9C"/>
    <w:styleLink w:val="Zaimportowanystyl20"/>
    <w:lvl w:ilvl="0" w:tplc="8FDEC7F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EE58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428C52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A6E8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65FE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325B12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C7A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AC4D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0A4392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8A9366F"/>
    <w:multiLevelType w:val="hybridMultilevel"/>
    <w:tmpl w:val="4BF0BFFE"/>
    <w:numStyleLink w:val="Zaimportowanystyl25"/>
  </w:abstractNum>
  <w:abstractNum w:abstractNumId="75" w15:restartNumberingAfterBreak="0">
    <w:nsid w:val="78EB2FA7"/>
    <w:multiLevelType w:val="hybridMultilevel"/>
    <w:tmpl w:val="AED6DCBC"/>
    <w:styleLink w:val="Zaimportowanystyl6"/>
    <w:lvl w:ilvl="0" w:tplc="982EAA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6577E">
      <w:start w:val="1"/>
      <w:numFmt w:val="decimal"/>
      <w:lvlText w:val="%2.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C85A9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0724C">
      <w:start w:val="1"/>
      <w:numFmt w:val="decimal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3A17F6">
      <w:start w:val="1"/>
      <w:numFmt w:val="lowerLetter"/>
      <w:lvlText w:val="%5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A63D8">
      <w:start w:val="1"/>
      <w:numFmt w:val="lowerRoman"/>
      <w:lvlText w:val="%6."/>
      <w:lvlJc w:val="left"/>
      <w:pPr>
        <w:ind w:left="171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04F44">
      <w:start w:val="1"/>
      <w:numFmt w:val="decimal"/>
      <w:lvlText w:val="%7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0DF72">
      <w:start w:val="1"/>
      <w:numFmt w:val="lowerLetter"/>
      <w:lvlText w:val="%8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885FA">
      <w:start w:val="1"/>
      <w:numFmt w:val="lowerRoman"/>
      <w:lvlText w:val="%9."/>
      <w:lvlJc w:val="left"/>
      <w:pPr>
        <w:ind w:left="387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B9F525E"/>
    <w:multiLevelType w:val="hybridMultilevel"/>
    <w:tmpl w:val="2B4A42DA"/>
    <w:styleLink w:val="Zaimportowanystyl16"/>
    <w:lvl w:ilvl="0" w:tplc="FB8AA690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0B3A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CD268">
      <w:start w:val="1"/>
      <w:numFmt w:val="decimal"/>
      <w:lvlText w:val="%3)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FC841A">
      <w:start w:val="1"/>
      <w:numFmt w:val="decimal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0ECF2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EC222">
      <w:start w:val="1"/>
      <w:numFmt w:val="lowerRoman"/>
      <w:lvlText w:val="%6."/>
      <w:lvlJc w:val="left"/>
      <w:pPr>
        <w:ind w:left="387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838F6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E73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6CFF0A">
      <w:start w:val="1"/>
      <w:numFmt w:val="lowerRoman"/>
      <w:lvlText w:val="%9."/>
      <w:lvlJc w:val="left"/>
      <w:pPr>
        <w:ind w:left="603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D0924BD"/>
    <w:multiLevelType w:val="hybridMultilevel"/>
    <w:tmpl w:val="276817F8"/>
    <w:styleLink w:val="Zaimportowanystyl10"/>
    <w:lvl w:ilvl="0" w:tplc="DC7E6F2A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056E0">
      <w:start w:val="1"/>
      <w:numFmt w:val="lowerLetter"/>
      <w:lvlText w:val="%2."/>
      <w:lvlJc w:val="left"/>
      <w:pPr>
        <w:tabs>
          <w:tab w:val="left" w:pos="851"/>
        </w:tabs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6F1DE">
      <w:start w:val="1"/>
      <w:numFmt w:val="lowerRoman"/>
      <w:lvlText w:val="%3."/>
      <w:lvlJc w:val="left"/>
      <w:pPr>
        <w:tabs>
          <w:tab w:val="left" w:pos="851"/>
        </w:tabs>
        <w:ind w:left="229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8C31C2">
      <w:start w:val="1"/>
      <w:numFmt w:val="decimal"/>
      <w:lvlText w:val="%4."/>
      <w:lvlJc w:val="left"/>
      <w:pPr>
        <w:tabs>
          <w:tab w:val="left" w:pos="851"/>
        </w:tabs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8778C">
      <w:start w:val="1"/>
      <w:numFmt w:val="lowerLetter"/>
      <w:lvlText w:val="%5."/>
      <w:lvlJc w:val="left"/>
      <w:pPr>
        <w:tabs>
          <w:tab w:val="left" w:pos="851"/>
        </w:tabs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676BA">
      <w:start w:val="1"/>
      <w:numFmt w:val="lowerRoman"/>
      <w:lvlText w:val="%6."/>
      <w:lvlJc w:val="left"/>
      <w:pPr>
        <w:tabs>
          <w:tab w:val="left" w:pos="851"/>
        </w:tabs>
        <w:ind w:left="445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E91CE">
      <w:start w:val="1"/>
      <w:numFmt w:val="decimal"/>
      <w:lvlText w:val="%7."/>
      <w:lvlJc w:val="left"/>
      <w:pPr>
        <w:tabs>
          <w:tab w:val="left" w:pos="851"/>
        </w:tabs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E79F4">
      <w:start w:val="1"/>
      <w:numFmt w:val="lowerLetter"/>
      <w:lvlText w:val="%8."/>
      <w:lvlJc w:val="left"/>
      <w:pPr>
        <w:tabs>
          <w:tab w:val="left" w:pos="851"/>
        </w:tabs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84196">
      <w:start w:val="1"/>
      <w:numFmt w:val="lowerRoman"/>
      <w:lvlText w:val="%9."/>
      <w:lvlJc w:val="left"/>
      <w:pPr>
        <w:tabs>
          <w:tab w:val="left" w:pos="851"/>
        </w:tabs>
        <w:ind w:left="6611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DC42DA5"/>
    <w:multiLevelType w:val="hybridMultilevel"/>
    <w:tmpl w:val="62A84BBE"/>
    <w:numStyleLink w:val="Zaimportowanystyl40"/>
  </w:abstractNum>
  <w:abstractNum w:abstractNumId="79" w15:restartNumberingAfterBreak="0">
    <w:nsid w:val="7E1C3FAA"/>
    <w:multiLevelType w:val="hybridMultilevel"/>
    <w:tmpl w:val="319EC7A0"/>
    <w:numStyleLink w:val="Zaimportowanystyl8"/>
  </w:abstractNum>
  <w:num w:numId="1">
    <w:abstractNumId w:val="9"/>
  </w:num>
  <w:num w:numId="2">
    <w:abstractNumId w:val="55"/>
  </w:num>
  <w:num w:numId="3">
    <w:abstractNumId w:val="60"/>
  </w:num>
  <w:num w:numId="4">
    <w:abstractNumId w:val="34"/>
  </w:num>
  <w:num w:numId="5">
    <w:abstractNumId w:val="55"/>
    <w:lvlOverride w:ilvl="0">
      <w:startOverride w:val="2"/>
    </w:lvlOverride>
  </w:num>
  <w:num w:numId="6">
    <w:abstractNumId w:val="29"/>
  </w:num>
  <w:num w:numId="7">
    <w:abstractNumId w:val="22"/>
  </w:num>
  <w:num w:numId="8">
    <w:abstractNumId w:val="55"/>
    <w:lvlOverride w:ilvl="0">
      <w:startOverride w:val="3"/>
    </w:lvlOverride>
  </w:num>
  <w:num w:numId="9">
    <w:abstractNumId w:val="20"/>
  </w:num>
  <w:num w:numId="10">
    <w:abstractNumId w:val="2"/>
  </w:num>
  <w:num w:numId="11">
    <w:abstractNumId w:val="30"/>
  </w:num>
  <w:num w:numId="12">
    <w:abstractNumId w:val="66"/>
    <w:lvlOverride w:ilvl="0">
      <w:lvl w:ilvl="0" w:tplc="9C6AFCA0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6"/>
    <w:lvlOverride w:ilvl="0">
      <w:lvl w:ilvl="0" w:tplc="9C6AFCA0">
        <w:start w:val="1"/>
        <w:numFmt w:val="decimal"/>
        <w:lvlText w:val="%1)"/>
        <w:lvlJc w:val="left"/>
        <w:pPr>
          <w:ind w:left="425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A253B2">
        <w:start w:val="1"/>
        <w:numFmt w:val="lowerLetter"/>
        <w:lvlText w:val="%2."/>
        <w:lvlJc w:val="left"/>
        <w:pPr>
          <w:ind w:left="122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32CC46">
        <w:start w:val="1"/>
        <w:numFmt w:val="lowerRoman"/>
        <w:lvlText w:val="%3."/>
        <w:lvlJc w:val="left"/>
        <w:pPr>
          <w:ind w:left="194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2FA86">
        <w:start w:val="1"/>
        <w:numFmt w:val="decimal"/>
        <w:lvlText w:val="%4."/>
        <w:lvlJc w:val="left"/>
        <w:pPr>
          <w:ind w:left="266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4FDA2">
        <w:start w:val="1"/>
        <w:numFmt w:val="lowerLetter"/>
        <w:lvlText w:val="%5."/>
        <w:lvlJc w:val="left"/>
        <w:pPr>
          <w:ind w:left="338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AC8F2E">
        <w:start w:val="1"/>
        <w:numFmt w:val="lowerRoman"/>
        <w:lvlText w:val="%6."/>
        <w:lvlJc w:val="left"/>
        <w:pPr>
          <w:ind w:left="410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2811C4">
        <w:start w:val="1"/>
        <w:numFmt w:val="decimal"/>
        <w:lvlText w:val="%7."/>
        <w:lvlJc w:val="left"/>
        <w:pPr>
          <w:ind w:left="482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A8F67A">
        <w:start w:val="1"/>
        <w:numFmt w:val="lowerLetter"/>
        <w:lvlText w:val="%8."/>
        <w:lvlJc w:val="left"/>
        <w:pPr>
          <w:ind w:left="554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88B718">
        <w:start w:val="1"/>
        <w:numFmt w:val="lowerRoman"/>
        <w:lvlText w:val="%9."/>
        <w:lvlJc w:val="left"/>
        <w:pPr>
          <w:ind w:left="626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5"/>
  </w:num>
  <w:num w:numId="15">
    <w:abstractNumId w:val="54"/>
  </w:num>
  <w:num w:numId="16">
    <w:abstractNumId w:val="66"/>
    <w:lvlOverride w:ilvl="0">
      <w:startOverride w:val="21"/>
      <w:lvl w:ilvl="0" w:tplc="9C6AFCA0">
        <w:start w:val="21"/>
        <w:numFmt w:val="decimal"/>
        <w:lvlText w:val="%1)"/>
        <w:lvlJc w:val="left"/>
        <w:pPr>
          <w:ind w:left="425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A253B2">
        <w:start w:val="1"/>
        <w:numFmt w:val="lowerLetter"/>
        <w:lvlText w:val="%2."/>
        <w:lvlJc w:val="left"/>
        <w:pPr>
          <w:ind w:left="122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32CC46">
        <w:start w:val="1"/>
        <w:numFmt w:val="lowerRoman"/>
        <w:lvlText w:val="%3."/>
        <w:lvlJc w:val="left"/>
        <w:pPr>
          <w:ind w:left="194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12FA86">
        <w:start w:val="1"/>
        <w:numFmt w:val="decimal"/>
        <w:lvlText w:val="%4."/>
        <w:lvlJc w:val="left"/>
        <w:pPr>
          <w:ind w:left="266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E4FDA2">
        <w:start w:val="1"/>
        <w:numFmt w:val="lowerLetter"/>
        <w:lvlText w:val="%5."/>
        <w:lvlJc w:val="left"/>
        <w:pPr>
          <w:ind w:left="338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AC8F2E">
        <w:start w:val="1"/>
        <w:numFmt w:val="lowerRoman"/>
        <w:lvlText w:val="%6."/>
        <w:lvlJc w:val="left"/>
        <w:pPr>
          <w:ind w:left="410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2811C4">
        <w:start w:val="1"/>
        <w:numFmt w:val="decimal"/>
        <w:lvlText w:val="%7."/>
        <w:lvlJc w:val="left"/>
        <w:pPr>
          <w:ind w:left="482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A8F67A">
        <w:start w:val="1"/>
        <w:numFmt w:val="lowerLetter"/>
        <w:lvlText w:val="%8."/>
        <w:lvlJc w:val="left"/>
        <w:pPr>
          <w:ind w:left="5541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88B718">
        <w:start w:val="1"/>
        <w:numFmt w:val="lowerRoman"/>
        <w:lvlText w:val="%9."/>
        <w:lvlJc w:val="left"/>
        <w:pPr>
          <w:ind w:left="6261" w:hanging="37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7"/>
  </w:num>
  <w:num w:numId="18">
    <w:abstractNumId w:val="32"/>
  </w:num>
  <w:num w:numId="19">
    <w:abstractNumId w:val="15"/>
  </w:num>
  <w:num w:numId="20">
    <w:abstractNumId w:val="79"/>
  </w:num>
  <w:num w:numId="21">
    <w:abstractNumId w:val="32"/>
    <w:lvlOverride w:ilvl="0">
      <w:startOverride w:val="4"/>
      <w:lvl w:ilvl="0" w:tplc="F6CCBA0E">
        <w:start w:val="4"/>
        <w:numFmt w:val="decimal"/>
        <w:lvlText w:val="%1."/>
        <w:lvlJc w:val="left"/>
        <w:pPr>
          <w:tabs>
            <w:tab w:val="left" w:pos="360"/>
            <w:tab w:val="left" w:pos="42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7E9B16">
        <w:start w:val="1"/>
        <w:numFmt w:val="lowerLetter"/>
        <w:lvlText w:val="%2."/>
        <w:lvlJc w:val="left"/>
        <w:pPr>
          <w:tabs>
            <w:tab w:val="left" w:pos="360"/>
            <w:tab w:val="left" w:pos="426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3CCDA2">
        <w:start w:val="1"/>
        <w:numFmt w:val="lowerLetter"/>
        <w:lvlText w:val="%3)"/>
        <w:lvlJc w:val="left"/>
        <w:pPr>
          <w:tabs>
            <w:tab w:val="left" w:pos="360"/>
            <w:tab w:val="left" w:pos="426"/>
          </w:tabs>
          <w:ind w:left="19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00E86A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8E093C">
        <w:start w:val="1"/>
        <w:numFmt w:val="lowerLetter"/>
        <w:lvlText w:val="%5."/>
        <w:lvlJc w:val="left"/>
        <w:pPr>
          <w:tabs>
            <w:tab w:val="left" w:pos="360"/>
            <w:tab w:val="left" w:pos="426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267EBA">
        <w:start w:val="1"/>
        <w:numFmt w:val="lowerRoman"/>
        <w:lvlText w:val="%6."/>
        <w:lvlJc w:val="left"/>
        <w:pPr>
          <w:tabs>
            <w:tab w:val="left" w:pos="360"/>
            <w:tab w:val="left" w:pos="426"/>
          </w:tabs>
          <w:ind w:left="395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2E69DE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404F5C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C368D14">
        <w:start w:val="1"/>
        <w:numFmt w:val="lowerRoman"/>
        <w:lvlText w:val="%9."/>
        <w:lvlJc w:val="left"/>
        <w:pPr>
          <w:tabs>
            <w:tab w:val="left" w:pos="360"/>
            <w:tab w:val="left" w:pos="426"/>
          </w:tabs>
          <w:ind w:left="61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3"/>
  </w:num>
  <w:num w:numId="23">
    <w:abstractNumId w:val="14"/>
  </w:num>
  <w:num w:numId="24">
    <w:abstractNumId w:val="77"/>
  </w:num>
  <w:num w:numId="25">
    <w:abstractNumId w:val="52"/>
  </w:num>
  <w:num w:numId="26">
    <w:abstractNumId w:val="14"/>
    <w:lvlOverride w:ilvl="0">
      <w:startOverride w:val="2"/>
    </w:lvlOverride>
  </w:num>
  <w:num w:numId="27">
    <w:abstractNumId w:val="43"/>
  </w:num>
  <w:num w:numId="28">
    <w:abstractNumId w:val="36"/>
  </w:num>
  <w:num w:numId="29">
    <w:abstractNumId w:val="14"/>
    <w:lvlOverride w:ilvl="0">
      <w:startOverride w:val="5"/>
    </w:lvlOverride>
  </w:num>
  <w:num w:numId="30">
    <w:abstractNumId w:val="27"/>
  </w:num>
  <w:num w:numId="31">
    <w:abstractNumId w:val="63"/>
  </w:num>
  <w:num w:numId="32">
    <w:abstractNumId w:val="39"/>
  </w:num>
  <w:num w:numId="33">
    <w:abstractNumId w:val="6"/>
  </w:num>
  <w:num w:numId="34">
    <w:abstractNumId w:val="23"/>
  </w:num>
  <w:num w:numId="35">
    <w:abstractNumId w:val="44"/>
  </w:num>
  <w:num w:numId="36">
    <w:abstractNumId w:val="70"/>
  </w:num>
  <w:num w:numId="37">
    <w:abstractNumId w:val="64"/>
  </w:num>
  <w:num w:numId="38">
    <w:abstractNumId w:val="6"/>
    <w:lvlOverride w:ilvl="0">
      <w:startOverride w:val="8"/>
    </w:lvlOverride>
  </w:num>
  <w:num w:numId="39">
    <w:abstractNumId w:val="6"/>
    <w:lvlOverride w:ilvl="0">
      <w:lvl w:ilvl="0" w:tplc="7F4ADC04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CECB66">
        <w:start w:val="1"/>
        <w:numFmt w:val="lowerLetter"/>
        <w:lvlText w:val="%2."/>
        <w:lvlJc w:val="left"/>
        <w:pPr>
          <w:ind w:left="122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D441D8">
        <w:start w:val="1"/>
        <w:numFmt w:val="lowerRoman"/>
        <w:lvlText w:val="%3."/>
        <w:lvlJc w:val="left"/>
        <w:pPr>
          <w:ind w:left="194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B8CB54">
        <w:start w:val="1"/>
        <w:numFmt w:val="decimal"/>
        <w:lvlText w:val="%4."/>
        <w:lvlJc w:val="left"/>
        <w:pPr>
          <w:ind w:left="266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F0B6EE">
        <w:start w:val="1"/>
        <w:numFmt w:val="lowerLetter"/>
        <w:lvlText w:val="%5."/>
        <w:lvlJc w:val="left"/>
        <w:pPr>
          <w:ind w:left="338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264A6E">
        <w:start w:val="1"/>
        <w:numFmt w:val="lowerRoman"/>
        <w:lvlText w:val="%6."/>
        <w:lvlJc w:val="left"/>
        <w:pPr>
          <w:ind w:left="410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9A0952">
        <w:start w:val="1"/>
        <w:numFmt w:val="decimal"/>
        <w:lvlText w:val="%7."/>
        <w:lvlJc w:val="left"/>
        <w:pPr>
          <w:ind w:left="482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60EA72">
        <w:start w:val="1"/>
        <w:numFmt w:val="lowerLetter"/>
        <w:lvlText w:val="%8."/>
        <w:lvlJc w:val="left"/>
        <w:pPr>
          <w:ind w:left="554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78F7EE">
        <w:start w:val="1"/>
        <w:numFmt w:val="lowerRoman"/>
        <w:lvlText w:val="%9."/>
        <w:lvlJc w:val="left"/>
        <w:pPr>
          <w:ind w:left="6261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76"/>
  </w:num>
  <w:num w:numId="41">
    <w:abstractNumId w:val="18"/>
  </w:num>
  <w:num w:numId="42">
    <w:abstractNumId w:val="18"/>
    <w:lvlOverride w:ilvl="0">
      <w:lvl w:ilvl="0" w:tplc="68EE13C2">
        <w:start w:val="1"/>
        <w:numFmt w:val="decimal"/>
        <w:lvlText w:val="%1."/>
        <w:lvlJc w:val="left"/>
        <w:pPr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2CBCF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E036A4">
        <w:start w:val="1"/>
        <w:numFmt w:val="decimal"/>
        <w:lvlText w:val="%3)"/>
        <w:lvlJc w:val="left"/>
        <w:pPr>
          <w:ind w:left="23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F4A6C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742E8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FC5DA8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9AF7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3A126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02C666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5"/>
  </w:num>
  <w:num w:numId="44">
    <w:abstractNumId w:val="46"/>
  </w:num>
  <w:num w:numId="45">
    <w:abstractNumId w:val="18"/>
    <w:lvlOverride w:ilvl="0">
      <w:startOverride w:val="7"/>
    </w:lvlOverride>
  </w:num>
  <w:num w:numId="46">
    <w:abstractNumId w:val="18"/>
    <w:lvlOverride w:ilvl="0">
      <w:lvl w:ilvl="0" w:tplc="68EE13C2">
        <w:start w:val="1"/>
        <w:numFmt w:val="decimal"/>
        <w:lvlText w:val="%1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2CBCFC">
        <w:start w:val="1"/>
        <w:numFmt w:val="decimal"/>
        <w:lvlText w:val="%2)"/>
        <w:lvlJc w:val="left"/>
        <w:pPr>
          <w:ind w:left="99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E036A4">
        <w:start w:val="1"/>
        <w:numFmt w:val="decimal"/>
        <w:lvlText w:val="%3)"/>
        <w:lvlJc w:val="left"/>
        <w:pPr>
          <w:ind w:left="189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F4A6CE">
        <w:start w:val="1"/>
        <w:numFmt w:val="decimal"/>
        <w:lvlText w:val="%4."/>
        <w:lvlJc w:val="left"/>
        <w:pPr>
          <w:ind w:left="243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742E80">
        <w:start w:val="1"/>
        <w:numFmt w:val="lowerLetter"/>
        <w:lvlText w:val="%5."/>
        <w:lvlJc w:val="left"/>
        <w:pPr>
          <w:ind w:left="315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FC5DA8">
        <w:start w:val="1"/>
        <w:numFmt w:val="lowerRoman"/>
        <w:lvlText w:val="%6."/>
        <w:lvlJc w:val="left"/>
        <w:pPr>
          <w:ind w:left="387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9AF72A">
        <w:start w:val="1"/>
        <w:numFmt w:val="decimal"/>
        <w:lvlText w:val="%7."/>
        <w:lvlJc w:val="left"/>
        <w:pPr>
          <w:ind w:left="459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3A1268">
        <w:start w:val="1"/>
        <w:numFmt w:val="lowerLetter"/>
        <w:lvlText w:val="%8."/>
        <w:lvlJc w:val="left"/>
        <w:pPr>
          <w:ind w:left="531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02C666">
        <w:start w:val="1"/>
        <w:numFmt w:val="lowerRoman"/>
        <w:lvlText w:val="%9."/>
        <w:lvlJc w:val="left"/>
        <w:pPr>
          <w:ind w:left="603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0"/>
  </w:num>
  <w:num w:numId="48">
    <w:abstractNumId w:val="19"/>
  </w:num>
  <w:num w:numId="49">
    <w:abstractNumId w:val="71"/>
  </w:num>
  <w:num w:numId="50">
    <w:abstractNumId w:val="5"/>
  </w:num>
  <w:num w:numId="51">
    <w:abstractNumId w:val="73"/>
  </w:num>
  <w:num w:numId="52">
    <w:abstractNumId w:val="42"/>
  </w:num>
  <w:num w:numId="53">
    <w:abstractNumId w:val="42"/>
    <w:lvlOverride w:ilvl="0">
      <w:startOverride w:val="2"/>
    </w:lvlOverride>
  </w:num>
  <w:num w:numId="54">
    <w:abstractNumId w:val="17"/>
  </w:num>
  <w:num w:numId="55">
    <w:abstractNumId w:val="57"/>
  </w:num>
  <w:num w:numId="56">
    <w:abstractNumId w:val="42"/>
    <w:lvlOverride w:ilvl="0">
      <w:startOverride w:val="3"/>
    </w:lvlOverride>
  </w:num>
  <w:num w:numId="57">
    <w:abstractNumId w:val="72"/>
  </w:num>
  <w:num w:numId="58">
    <w:abstractNumId w:val="12"/>
  </w:num>
  <w:num w:numId="59">
    <w:abstractNumId w:val="42"/>
    <w:lvlOverride w:ilvl="0">
      <w:startOverride w:val="6"/>
    </w:lvlOverride>
  </w:num>
  <w:num w:numId="60">
    <w:abstractNumId w:val="41"/>
  </w:num>
  <w:num w:numId="61">
    <w:abstractNumId w:val="21"/>
  </w:num>
  <w:num w:numId="62">
    <w:abstractNumId w:val="59"/>
  </w:num>
  <w:num w:numId="63">
    <w:abstractNumId w:val="33"/>
  </w:num>
  <w:num w:numId="64">
    <w:abstractNumId w:val="21"/>
    <w:lvlOverride w:ilvl="0">
      <w:startOverride w:val="4"/>
    </w:lvlOverride>
  </w:num>
  <w:num w:numId="65">
    <w:abstractNumId w:val="31"/>
  </w:num>
  <w:num w:numId="66">
    <w:abstractNumId w:val="74"/>
  </w:num>
  <w:num w:numId="67">
    <w:abstractNumId w:val="3"/>
  </w:num>
  <w:num w:numId="68">
    <w:abstractNumId w:val="4"/>
  </w:num>
  <w:num w:numId="69">
    <w:abstractNumId w:val="74"/>
    <w:lvlOverride w:ilvl="0">
      <w:startOverride w:val="4"/>
      <w:lvl w:ilvl="0" w:tplc="7C24EB4E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FE4E5F0">
        <w:start w:val="1"/>
        <w:numFmt w:val="decimal"/>
        <w:lvlText w:val="%2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801E76">
        <w:start w:val="1"/>
        <w:numFmt w:val="lowerRoman"/>
        <w:lvlText w:val="%3."/>
        <w:lvlJc w:val="left"/>
        <w:pPr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360708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580B64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E06DF4">
        <w:start w:val="1"/>
        <w:numFmt w:val="lowerRoman"/>
        <w:lvlText w:val="%6."/>
        <w:lvlJc w:val="left"/>
        <w:pPr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F8009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1C8A7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E46526">
        <w:start w:val="1"/>
        <w:numFmt w:val="lowerRoman"/>
        <w:lvlText w:val="%9."/>
        <w:lvlJc w:val="left"/>
        <w:pPr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74"/>
    <w:lvlOverride w:ilvl="0">
      <w:lvl w:ilvl="0" w:tplc="7C24EB4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E4E5F0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801E76">
        <w:start w:val="1"/>
        <w:numFmt w:val="lowerRoman"/>
        <w:lvlText w:val="%3."/>
        <w:lvlJc w:val="left"/>
        <w:pPr>
          <w:ind w:left="18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360708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580B6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E06DF4">
        <w:start w:val="1"/>
        <w:numFmt w:val="lowerRoman"/>
        <w:lvlText w:val="%6."/>
        <w:lvlJc w:val="left"/>
        <w:pPr>
          <w:ind w:left="39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F8009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1C8A7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E46526">
        <w:start w:val="1"/>
        <w:numFmt w:val="lowerRoman"/>
        <w:lvlText w:val="%9."/>
        <w:lvlJc w:val="left"/>
        <w:pPr>
          <w:ind w:left="61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7"/>
  </w:num>
  <w:num w:numId="72">
    <w:abstractNumId w:val="11"/>
  </w:num>
  <w:num w:numId="73">
    <w:abstractNumId w:val="13"/>
  </w:num>
  <w:num w:numId="74">
    <w:abstractNumId w:val="56"/>
  </w:num>
  <w:num w:numId="75">
    <w:abstractNumId w:val="56"/>
    <w:lvlOverride w:ilvl="0">
      <w:startOverride w:val="23"/>
    </w:lvlOverride>
  </w:num>
  <w:num w:numId="76">
    <w:abstractNumId w:val="16"/>
  </w:num>
  <w:num w:numId="77">
    <w:abstractNumId w:val="65"/>
  </w:num>
  <w:num w:numId="78">
    <w:abstractNumId w:val="62"/>
  </w:num>
  <w:num w:numId="79">
    <w:abstractNumId w:val="24"/>
  </w:num>
  <w:num w:numId="80">
    <w:abstractNumId w:val="65"/>
    <w:lvlOverride w:ilvl="0">
      <w:startOverride w:val="2"/>
      <w:lvl w:ilvl="0" w:tplc="C55618FC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E43BC4">
        <w:start w:val="1"/>
        <w:numFmt w:val="lowerLetter"/>
        <w:lvlText w:val="%2."/>
        <w:lvlJc w:val="left"/>
        <w:pPr>
          <w:ind w:left="136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56218E">
        <w:start w:val="1"/>
        <w:numFmt w:val="lowerRoman"/>
        <w:lvlText w:val="%3."/>
        <w:lvlJc w:val="left"/>
        <w:pPr>
          <w:ind w:left="2084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E89F78">
        <w:start w:val="1"/>
        <w:numFmt w:val="decimal"/>
        <w:lvlText w:val="%4."/>
        <w:lvlJc w:val="left"/>
        <w:pPr>
          <w:ind w:left="280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A65114">
        <w:start w:val="1"/>
        <w:numFmt w:val="lowerLetter"/>
        <w:lvlText w:val="%5."/>
        <w:lvlJc w:val="left"/>
        <w:pPr>
          <w:ind w:left="352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465B90">
        <w:start w:val="1"/>
        <w:numFmt w:val="lowerRoman"/>
        <w:lvlText w:val="%6."/>
        <w:lvlJc w:val="left"/>
        <w:pPr>
          <w:ind w:left="4244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7E9E72">
        <w:start w:val="1"/>
        <w:numFmt w:val="decimal"/>
        <w:lvlText w:val="%7."/>
        <w:lvlJc w:val="left"/>
        <w:pPr>
          <w:ind w:left="496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2E676C">
        <w:start w:val="1"/>
        <w:numFmt w:val="lowerLetter"/>
        <w:lvlText w:val="%8."/>
        <w:lvlJc w:val="left"/>
        <w:pPr>
          <w:ind w:left="568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067962">
        <w:start w:val="1"/>
        <w:numFmt w:val="lowerRoman"/>
        <w:lvlText w:val="%9."/>
        <w:lvlJc w:val="left"/>
        <w:pPr>
          <w:ind w:left="6404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65"/>
    <w:lvlOverride w:ilvl="0">
      <w:lvl w:ilvl="0" w:tplc="C55618F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E43BC4">
        <w:start w:val="1"/>
        <w:numFmt w:val="lowerLetter"/>
        <w:lvlText w:val="%2."/>
        <w:lvlJc w:val="left"/>
        <w:pPr>
          <w:tabs>
            <w:tab w:val="left" w:pos="426"/>
          </w:tabs>
          <w:ind w:left="136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56218E">
        <w:start w:val="1"/>
        <w:numFmt w:val="lowerRoman"/>
        <w:lvlText w:val="%3."/>
        <w:lvlJc w:val="left"/>
        <w:pPr>
          <w:tabs>
            <w:tab w:val="left" w:pos="426"/>
          </w:tabs>
          <w:ind w:left="2084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E89F78">
        <w:start w:val="1"/>
        <w:numFmt w:val="decimal"/>
        <w:lvlText w:val="%4."/>
        <w:lvlJc w:val="left"/>
        <w:pPr>
          <w:tabs>
            <w:tab w:val="left" w:pos="426"/>
          </w:tabs>
          <w:ind w:left="280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A65114">
        <w:start w:val="1"/>
        <w:numFmt w:val="lowerLetter"/>
        <w:lvlText w:val="%5."/>
        <w:lvlJc w:val="left"/>
        <w:pPr>
          <w:tabs>
            <w:tab w:val="left" w:pos="426"/>
          </w:tabs>
          <w:ind w:left="352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465B90">
        <w:start w:val="1"/>
        <w:numFmt w:val="lowerRoman"/>
        <w:lvlText w:val="%6."/>
        <w:lvlJc w:val="left"/>
        <w:pPr>
          <w:tabs>
            <w:tab w:val="left" w:pos="426"/>
          </w:tabs>
          <w:ind w:left="4244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7E9E72">
        <w:start w:val="1"/>
        <w:numFmt w:val="decimal"/>
        <w:lvlText w:val="%7."/>
        <w:lvlJc w:val="left"/>
        <w:pPr>
          <w:tabs>
            <w:tab w:val="left" w:pos="426"/>
          </w:tabs>
          <w:ind w:left="496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2E676C">
        <w:start w:val="1"/>
        <w:numFmt w:val="lowerLetter"/>
        <w:lvlText w:val="%8."/>
        <w:lvlJc w:val="left"/>
        <w:pPr>
          <w:tabs>
            <w:tab w:val="left" w:pos="426"/>
          </w:tabs>
          <w:ind w:left="568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067962">
        <w:start w:val="1"/>
        <w:numFmt w:val="lowerRoman"/>
        <w:lvlText w:val="%9."/>
        <w:lvlJc w:val="left"/>
        <w:pPr>
          <w:tabs>
            <w:tab w:val="left" w:pos="426"/>
          </w:tabs>
          <w:ind w:left="6404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38"/>
  </w:num>
  <w:num w:numId="83">
    <w:abstractNumId w:val="40"/>
  </w:num>
  <w:num w:numId="84">
    <w:abstractNumId w:val="51"/>
  </w:num>
  <w:num w:numId="85">
    <w:abstractNumId w:val="1"/>
  </w:num>
  <w:num w:numId="86">
    <w:abstractNumId w:val="1"/>
    <w:lvlOverride w:ilvl="0">
      <w:lvl w:ilvl="0" w:tplc="82CA1FBA">
        <w:start w:val="1"/>
        <w:numFmt w:val="bullet"/>
        <w:lvlText w:val="-"/>
        <w:lvlJc w:val="left"/>
        <w:pPr>
          <w:tabs>
            <w:tab w:val="num" w:pos="708"/>
          </w:tabs>
          <w:ind w:left="426" w:firstLine="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4C44BE">
        <w:start w:val="1"/>
        <w:numFmt w:val="bullet"/>
        <w:lvlText w:val="o"/>
        <w:lvlJc w:val="left"/>
        <w:pPr>
          <w:tabs>
            <w:tab w:val="num" w:pos="1428"/>
          </w:tabs>
          <w:ind w:left="1146" w:firstLine="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5A78FE">
        <w:start w:val="1"/>
        <w:numFmt w:val="bullet"/>
        <w:lvlText w:val="▪"/>
        <w:lvlJc w:val="left"/>
        <w:pPr>
          <w:tabs>
            <w:tab w:val="num" w:pos="2148"/>
          </w:tabs>
          <w:ind w:left="1866" w:firstLine="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C8D01C">
        <w:start w:val="1"/>
        <w:numFmt w:val="bullet"/>
        <w:lvlText w:val="·"/>
        <w:lvlJc w:val="left"/>
        <w:pPr>
          <w:tabs>
            <w:tab w:val="num" w:pos="2868"/>
          </w:tabs>
          <w:ind w:left="2586" w:firstLine="1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82B360">
        <w:start w:val="1"/>
        <w:numFmt w:val="bullet"/>
        <w:lvlText w:val="o"/>
        <w:lvlJc w:val="left"/>
        <w:pPr>
          <w:tabs>
            <w:tab w:val="num" w:pos="3588"/>
          </w:tabs>
          <w:ind w:left="3306" w:firstLine="1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0ED6C6">
        <w:start w:val="1"/>
        <w:numFmt w:val="bullet"/>
        <w:lvlText w:val="▪"/>
        <w:lvlJc w:val="left"/>
        <w:pPr>
          <w:ind w:left="4026" w:hanging="5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F43226">
        <w:start w:val="1"/>
        <w:numFmt w:val="bullet"/>
        <w:lvlText w:val="·"/>
        <w:lvlJc w:val="left"/>
        <w:pPr>
          <w:tabs>
            <w:tab w:val="num" w:pos="5028"/>
          </w:tabs>
          <w:ind w:left="4746" w:firstLine="1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AE3006">
        <w:start w:val="1"/>
        <w:numFmt w:val="bullet"/>
        <w:lvlText w:val="o"/>
        <w:lvlJc w:val="left"/>
        <w:pPr>
          <w:ind w:left="5466" w:hanging="5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161F0A">
        <w:start w:val="1"/>
        <w:numFmt w:val="bullet"/>
        <w:lvlText w:val="▪"/>
        <w:lvlJc w:val="left"/>
        <w:pPr>
          <w:ind w:left="6186" w:hanging="5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47"/>
  </w:num>
  <w:num w:numId="88">
    <w:abstractNumId w:val="50"/>
  </w:num>
  <w:num w:numId="89">
    <w:abstractNumId w:val="69"/>
  </w:num>
  <w:num w:numId="90">
    <w:abstractNumId w:val="49"/>
  </w:num>
  <w:num w:numId="91">
    <w:abstractNumId w:val="50"/>
    <w:lvlOverride w:ilvl="0">
      <w:startOverride w:val="4"/>
    </w:lvlOverride>
  </w:num>
  <w:num w:numId="92">
    <w:abstractNumId w:val="8"/>
  </w:num>
  <w:num w:numId="93">
    <w:abstractNumId w:val="28"/>
  </w:num>
  <w:num w:numId="94">
    <w:abstractNumId w:val="50"/>
    <w:lvlOverride w:ilvl="0">
      <w:startOverride w:val="7"/>
    </w:lvlOverride>
  </w:num>
  <w:num w:numId="95">
    <w:abstractNumId w:val="50"/>
    <w:lvlOverride w:ilvl="0">
      <w:lvl w:ilvl="0" w:tplc="2820C2A8">
        <w:start w:val="1"/>
        <w:numFmt w:val="decimal"/>
        <w:lvlText w:val="%1."/>
        <w:lvlJc w:val="left"/>
        <w:pPr>
          <w:tabs>
            <w:tab w:val="left" w:pos="709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982F72">
        <w:start w:val="1"/>
        <w:numFmt w:val="lowerLetter"/>
        <w:lvlText w:val="%2."/>
        <w:lvlJc w:val="left"/>
        <w:pPr>
          <w:tabs>
            <w:tab w:val="left" w:pos="709"/>
          </w:tabs>
          <w:ind w:left="11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B67B48">
        <w:start w:val="1"/>
        <w:numFmt w:val="lowerRoman"/>
        <w:lvlText w:val="%3."/>
        <w:lvlJc w:val="left"/>
        <w:pPr>
          <w:tabs>
            <w:tab w:val="left" w:pos="709"/>
          </w:tabs>
          <w:ind w:left="186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EEF4AC">
        <w:start w:val="1"/>
        <w:numFmt w:val="decimal"/>
        <w:lvlText w:val="%4."/>
        <w:lvlJc w:val="left"/>
        <w:pPr>
          <w:tabs>
            <w:tab w:val="left" w:pos="709"/>
          </w:tabs>
          <w:ind w:left="25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2877C6">
        <w:start w:val="1"/>
        <w:numFmt w:val="lowerLetter"/>
        <w:lvlText w:val="%5."/>
        <w:lvlJc w:val="left"/>
        <w:pPr>
          <w:tabs>
            <w:tab w:val="left" w:pos="709"/>
          </w:tabs>
          <w:ind w:left="33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2A0BA0">
        <w:start w:val="1"/>
        <w:numFmt w:val="lowerRoman"/>
        <w:lvlText w:val="%6."/>
        <w:lvlJc w:val="left"/>
        <w:pPr>
          <w:tabs>
            <w:tab w:val="left" w:pos="709"/>
          </w:tabs>
          <w:ind w:left="402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EAA2A4">
        <w:start w:val="1"/>
        <w:numFmt w:val="decimal"/>
        <w:lvlText w:val="%7."/>
        <w:lvlJc w:val="left"/>
        <w:pPr>
          <w:tabs>
            <w:tab w:val="left" w:pos="709"/>
          </w:tabs>
          <w:ind w:left="47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D23D5C">
        <w:start w:val="1"/>
        <w:numFmt w:val="lowerLetter"/>
        <w:lvlText w:val="%8."/>
        <w:lvlJc w:val="left"/>
        <w:pPr>
          <w:tabs>
            <w:tab w:val="left" w:pos="709"/>
          </w:tabs>
          <w:ind w:left="54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96B062">
        <w:start w:val="1"/>
        <w:numFmt w:val="lowerRoman"/>
        <w:lvlText w:val="%9."/>
        <w:lvlJc w:val="left"/>
        <w:pPr>
          <w:tabs>
            <w:tab w:val="left" w:pos="709"/>
          </w:tabs>
          <w:ind w:left="618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50"/>
    <w:lvlOverride w:ilvl="0">
      <w:lvl w:ilvl="0" w:tplc="2820C2A8">
        <w:start w:val="1"/>
        <w:numFmt w:val="decimal"/>
        <w:lvlText w:val="%1."/>
        <w:lvlJc w:val="left"/>
        <w:pPr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982F72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B67B48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EEF4AC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2877C6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2A0BA0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EAA2A4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D23D5C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96B062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7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26"/>
  </w:num>
  <w:num w:numId="98">
    <w:abstractNumId w:val="48"/>
  </w:num>
  <w:num w:numId="99">
    <w:abstractNumId w:val="50"/>
    <w:lvlOverride w:ilvl="0">
      <w:startOverride w:val="13"/>
    </w:lvlOverride>
  </w:num>
  <w:num w:numId="100">
    <w:abstractNumId w:val="67"/>
  </w:num>
  <w:num w:numId="101">
    <w:abstractNumId w:val="25"/>
  </w:num>
  <w:num w:numId="102">
    <w:abstractNumId w:val="25"/>
    <w:lvlOverride w:ilvl="0">
      <w:lvl w:ilvl="0" w:tplc="0B16CCF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602C74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72CBA8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4A3B8C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72590C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543B3A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FE9CC4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6691A4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B2DAAC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58"/>
  </w:num>
  <w:num w:numId="104">
    <w:abstractNumId w:val="35"/>
  </w:num>
  <w:num w:numId="105">
    <w:abstractNumId w:val="68"/>
  </w:num>
  <w:num w:numId="106">
    <w:abstractNumId w:val="10"/>
  </w:num>
  <w:num w:numId="107">
    <w:abstractNumId w:val="61"/>
  </w:num>
  <w:num w:numId="108">
    <w:abstractNumId w:val="7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5D"/>
    <w:rsid w:val="0013735D"/>
    <w:rsid w:val="00164894"/>
    <w:rsid w:val="004A0057"/>
    <w:rsid w:val="004B7B7B"/>
    <w:rsid w:val="00573D4E"/>
    <w:rsid w:val="00B32633"/>
    <w:rsid w:val="00BB5367"/>
    <w:rsid w:val="00E50AF3"/>
    <w:rsid w:val="00EF2662"/>
    <w:rsid w:val="00F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F408-A035-4586-AB58-CA3E5265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center"/>
    </w:pPr>
    <w:rPr>
      <w:rFonts w:cs="Arial Unicode MS"/>
      <w:b/>
      <w:bCs/>
      <w:color w:val="000000"/>
      <w:sz w:val="44"/>
      <w:szCs w:val="4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000000"/>
      <w:u w:val="single"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Hyperlink1">
    <w:name w:val="Hyperlink.1"/>
    <w:basedOn w:val="cze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40"/>
      </w:numPr>
    </w:pPr>
  </w:style>
  <w:style w:type="numbering" w:customStyle="1" w:styleId="Zaimportowanystyl17">
    <w:name w:val="Zaimportowany styl 17"/>
    <w:pPr>
      <w:numPr>
        <w:numId w:val="43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numbering" w:customStyle="1" w:styleId="Zaimportowanystyl19">
    <w:name w:val="Zaimportowany styl 19"/>
    <w:pPr>
      <w:numPr>
        <w:numId w:val="49"/>
      </w:numPr>
    </w:pPr>
  </w:style>
  <w:style w:type="numbering" w:customStyle="1" w:styleId="Zaimportowanystyl20">
    <w:name w:val="Zaimportowany styl 20"/>
    <w:pPr>
      <w:numPr>
        <w:numId w:val="51"/>
      </w:numPr>
    </w:p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numbering" w:customStyle="1" w:styleId="Zaimportowanystyl23">
    <w:name w:val="Zaimportowany styl 23"/>
    <w:pPr>
      <w:numPr>
        <w:numId w:val="60"/>
      </w:numPr>
    </w:pPr>
  </w:style>
  <w:style w:type="numbering" w:customStyle="1" w:styleId="Zaimportowanystyl24">
    <w:name w:val="Zaimportowany styl 24"/>
    <w:pPr>
      <w:numPr>
        <w:numId w:val="62"/>
      </w:numPr>
    </w:pPr>
  </w:style>
  <w:style w:type="numbering" w:customStyle="1" w:styleId="Zaimportowanystyl25">
    <w:name w:val="Zaimportowany styl 25"/>
    <w:pPr>
      <w:numPr>
        <w:numId w:val="65"/>
      </w:numPr>
    </w:pPr>
  </w:style>
  <w:style w:type="numbering" w:customStyle="1" w:styleId="Zaimportowanystyl26">
    <w:name w:val="Zaimportowany styl 26"/>
    <w:pPr>
      <w:numPr>
        <w:numId w:val="67"/>
      </w:numPr>
    </w:pPr>
  </w:style>
  <w:style w:type="numbering" w:customStyle="1" w:styleId="Zaimportowanystyl27">
    <w:name w:val="Zaimportowany styl 27"/>
    <w:pPr>
      <w:numPr>
        <w:numId w:val="71"/>
      </w:numPr>
    </w:pPr>
  </w:style>
  <w:style w:type="numbering" w:customStyle="1" w:styleId="Zaimportowanystyl28">
    <w:name w:val="Zaimportowany styl 28"/>
    <w:pPr>
      <w:numPr>
        <w:numId w:val="73"/>
      </w:numPr>
    </w:pPr>
  </w:style>
  <w:style w:type="numbering" w:customStyle="1" w:styleId="Zaimportowanystyl29">
    <w:name w:val="Zaimportowany styl 29"/>
    <w:pPr>
      <w:numPr>
        <w:numId w:val="76"/>
      </w:numPr>
    </w:pPr>
  </w:style>
  <w:style w:type="numbering" w:customStyle="1" w:styleId="Zaimportowanystyl30">
    <w:name w:val="Zaimportowany styl 30"/>
    <w:pPr>
      <w:numPr>
        <w:numId w:val="78"/>
      </w:numPr>
    </w:pPr>
  </w:style>
  <w:style w:type="numbering" w:customStyle="1" w:styleId="Zaimportowanystyl31">
    <w:name w:val="Zaimportowany styl 31"/>
    <w:pPr>
      <w:numPr>
        <w:numId w:val="82"/>
      </w:numPr>
    </w:pPr>
  </w:style>
  <w:style w:type="numbering" w:customStyle="1" w:styleId="Zaimportowanystyl32">
    <w:name w:val="Zaimportowany styl 32"/>
    <w:pPr>
      <w:numPr>
        <w:numId w:val="84"/>
      </w:numPr>
    </w:pPr>
  </w:style>
  <w:style w:type="numbering" w:customStyle="1" w:styleId="Zaimportowanystyl33">
    <w:name w:val="Zaimportowany styl 33"/>
    <w:pPr>
      <w:numPr>
        <w:numId w:val="87"/>
      </w:numPr>
    </w:pPr>
  </w:style>
  <w:style w:type="numbering" w:customStyle="1" w:styleId="Zaimportowanystyl34">
    <w:name w:val="Zaimportowany styl 34"/>
    <w:pPr>
      <w:numPr>
        <w:numId w:val="89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7"/>
      </w:numPr>
    </w:pPr>
  </w:style>
  <w:style w:type="numbering" w:customStyle="1" w:styleId="Zaimportowanystyl37">
    <w:name w:val="Zaimportowany styl 37"/>
    <w:pPr>
      <w:numPr>
        <w:numId w:val="100"/>
      </w:numPr>
    </w:pPr>
  </w:style>
  <w:style w:type="numbering" w:customStyle="1" w:styleId="Zaimportowanystyl38">
    <w:name w:val="Zaimportowany styl 38"/>
    <w:pPr>
      <w:numPr>
        <w:numId w:val="103"/>
      </w:numPr>
    </w:pPr>
  </w:style>
  <w:style w:type="character" w:customStyle="1" w:styleId="Brak">
    <w:name w:val="Brak"/>
  </w:style>
  <w:style w:type="character" w:customStyle="1" w:styleId="Hyperlink2">
    <w:name w:val="Hyperlink.2"/>
    <w:basedOn w:val="Brak"/>
    <w:rPr>
      <w:u w:val="single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39">
    <w:name w:val="Zaimportowany styl 39"/>
    <w:pPr>
      <w:numPr>
        <w:numId w:val="105"/>
      </w:numPr>
    </w:pPr>
  </w:style>
  <w:style w:type="numbering" w:customStyle="1" w:styleId="Zaimportowanystyl40">
    <w:name w:val="Zaimportowany styl 40"/>
    <w:pPr>
      <w:numPr>
        <w:numId w:val="10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ar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p.gov.pl/component/grants/grants/wzor-na-konkurencje-ii-etap-wdrozenie-strategii-wzornicze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6947</Words>
  <Characters>41686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1.4 II Etap POPW</dc:title>
  <dc:creator>Matuszewski Łukasz</dc:creator>
  <cp:keywords>PARP,PL</cp:keywords>
  <cp:lastModifiedBy>Weronika Błaszczak</cp:lastModifiedBy>
  <cp:revision>7</cp:revision>
  <dcterms:created xsi:type="dcterms:W3CDTF">2020-04-08T14:01:00Z</dcterms:created>
  <dcterms:modified xsi:type="dcterms:W3CDTF">2020-04-08T14:32:00Z</dcterms:modified>
</cp:coreProperties>
</file>