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D3E52" w14:textId="4ED3DF9C" w:rsidR="00284E2F" w:rsidRDefault="00284E2F" w:rsidP="00444B35">
      <w:pPr>
        <w:rPr>
          <w:noProof/>
        </w:rPr>
      </w:pPr>
    </w:p>
    <w:p w14:paraId="5B79DE50" w14:textId="6228C090" w:rsidR="00FD5653" w:rsidRPr="0097456F" w:rsidRDefault="00762814" w:rsidP="00444B35">
      <w:pPr>
        <w:rPr>
          <w:rFonts w:eastAsia="Arial" w:cstheme="minorHAnsi"/>
          <w:sz w:val="24"/>
          <w:szCs w:val="24"/>
          <w:lang w:val="pl" w:eastAsia="ar-SA"/>
        </w:rPr>
      </w:pPr>
      <w:r w:rsidRPr="0097456F">
        <w:rPr>
          <w:rFonts w:eastAsia="Arial" w:cstheme="minorHAnsi"/>
          <w:sz w:val="24"/>
          <w:szCs w:val="24"/>
          <w:lang w:val="pl" w:eastAsia="ar-SA"/>
        </w:rPr>
        <w:t>Załącznik nr 2 do RWP</w:t>
      </w:r>
    </w:p>
    <w:p w14:paraId="34318A01" w14:textId="5517497C" w:rsidR="00A23B26" w:rsidRDefault="00A23B26" w:rsidP="0097456F">
      <w:pPr>
        <w:pStyle w:val="Nagwek1"/>
        <w:spacing w:before="1800" w:line="276" w:lineRule="auto"/>
        <w:jc w:val="center"/>
        <w:rPr>
          <w:rFonts w:asciiTheme="minorHAnsi" w:hAnsiTheme="minorHAnsi" w:cstheme="minorHAnsi"/>
          <w:b/>
          <w:color w:val="auto"/>
          <w:sz w:val="40"/>
        </w:rPr>
      </w:pPr>
      <w:r w:rsidRPr="008D6FE6">
        <w:rPr>
          <w:rFonts w:asciiTheme="minorHAnsi" w:hAnsiTheme="minorHAnsi" w:cstheme="minorHAnsi"/>
          <w:b/>
          <w:color w:val="auto"/>
          <w:sz w:val="40"/>
        </w:rPr>
        <w:t>P</w:t>
      </w:r>
      <w:r w:rsidR="00762814" w:rsidRPr="008D6FE6">
        <w:rPr>
          <w:rFonts w:asciiTheme="minorHAnsi" w:hAnsiTheme="minorHAnsi" w:cstheme="minorHAnsi"/>
          <w:b/>
          <w:color w:val="auto"/>
          <w:sz w:val="40"/>
        </w:rPr>
        <w:t xml:space="preserve">rzewodnik kwalifikowalności wydatków </w:t>
      </w:r>
      <w:r w:rsidR="008D6FE6">
        <w:rPr>
          <w:rFonts w:asciiTheme="minorHAnsi" w:hAnsiTheme="minorHAnsi" w:cstheme="minorHAnsi"/>
          <w:b/>
          <w:color w:val="auto"/>
          <w:sz w:val="40"/>
        </w:rPr>
        <w:br/>
      </w:r>
    </w:p>
    <w:p w14:paraId="42139B79" w14:textId="3A82B064" w:rsidR="0097456F" w:rsidRPr="00151815" w:rsidRDefault="0097456F" w:rsidP="0097456F">
      <w:pPr>
        <w:widowControl w:val="0"/>
        <w:pBdr>
          <w:top w:val="nil"/>
          <w:left w:val="nil"/>
          <w:bottom w:val="nil"/>
          <w:right w:val="nil"/>
          <w:between w:val="nil"/>
        </w:pBdr>
        <w:tabs>
          <w:tab w:val="left" w:pos="2835"/>
        </w:tabs>
        <w:suppressAutoHyphens/>
        <w:spacing w:before="120" w:line="360" w:lineRule="auto"/>
        <w:rPr>
          <w:rFonts w:cstheme="minorHAnsi"/>
          <w:sz w:val="28"/>
          <w:szCs w:val="28"/>
          <w:lang w:val="pl"/>
        </w:rPr>
      </w:pPr>
      <w:r w:rsidRPr="00151815">
        <w:rPr>
          <w:rFonts w:cstheme="minorHAnsi"/>
          <w:b/>
          <w:sz w:val="28"/>
          <w:szCs w:val="28"/>
          <w:lang w:val="pl"/>
        </w:rPr>
        <w:t xml:space="preserve">Priorytet: </w:t>
      </w:r>
      <w:r w:rsidRPr="00151815">
        <w:rPr>
          <w:rFonts w:cstheme="minorHAnsi"/>
          <w:sz w:val="28"/>
          <w:szCs w:val="28"/>
          <w:lang w:val="pl"/>
        </w:rPr>
        <w:t xml:space="preserve">5. </w:t>
      </w:r>
      <w:bookmarkStart w:id="0" w:name="_Hlk199321655"/>
      <w:r w:rsidRPr="00151815">
        <w:rPr>
          <w:rFonts w:cstheme="minorHAnsi"/>
          <w:sz w:val="28"/>
          <w:szCs w:val="28"/>
          <w:lang w:val="pl"/>
        </w:rPr>
        <w:t>Wsparcie projektów realizujących cele inicjatywy STEP</w:t>
      </w:r>
      <w:bookmarkEnd w:id="0"/>
    </w:p>
    <w:p w14:paraId="05403D3D" w14:textId="225ADE59" w:rsidR="0097456F" w:rsidRPr="00151815" w:rsidRDefault="0097456F" w:rsidP="0097456F">
      <w:pPr>
        <w:widowControl w:val="0"/>
        <w:pBdr>
          <w:top w:val="nil"/>
          <w:left w:val="nil"/>
          <w:bottom w:val="nil"/>
          <w:right w:val="nil"/>
          <w:between w:val="nil"/>
        </w:pBdr>
        <w:tabs>
          <w:tab w:val="left" w:pos="2835"/>
        </w:tabs>
        <w:suppressAutoHyphens/>
        <w:spacing w:before="120" w:line="360" w:lineRule="auto"/>
        <w:rPr>
          <w:rFonts w:cstheme="minorHAnsi"/>
          <w:color w:val="C00000"/>
          <w:sz w:val="28"/>
          <w:szCs w:val="28"/>
          <w:lang w:val="pl"/>
        </w:rPr>
      </w:pPr>
      <w:r w:rsidRPr="00151815">
        <w:rPr>
          <w:rFonts w:cstheme="minorHAnsi"/>
          <w:b/>
          <w:sz w:val="28"/>
          <w:szCs w:val="28"/>
          <w:lang w:val="pl"/>
        </w:rPr>
        <w:t xml:space="preserve">Działanie: </w:t>
      </w:r>
      <w:r w:rsidRPr="00151815">
        <w:rPr>
          <w:rFonts w:cstheme="minorHAnsi"/>
          <w:bCs/>
          <w:sz w:val="28"/>
          <w:szCs w:val="28"/>
          <w:lang w:val="pl"/>
        </w:rPr>
        <w:t>05.01. Fundusz Wsparcia Technologii Krytycznych</w:t>
      </w:r>
    </w:p>
    <w:p w14:paraId="0C7A0B94" w14:textId="7FB6D51C" w:rsidR="0097456F" w:rsidRPr="00151815" w:rsidRDefault="0097456F" w:rsidP="0097456F">
      <w:pPr>
        <w:pStyle w:val="Tekstkomentarza"/>
        <w:tabs>
          <w:tab w:val="left" w:pos="2835"/>
        </w:tabs>
        <w:suppressAutoHyphens/>
        <w:spacing w:before="120" w:line="360" w:lineRule="auto"/>
        <w:rPr>
          <w:rFonts w:cstheme="minorHAnsi"/>
          <w:sz w:val="28"/>
          <w:szCs w:val="28"/>
          <w:lang w:val="pl"/>
        </w:rPr>
      </w:pPr>
      <w:r w:rsidRPr="00151815">
        <w:rPr>
          <w:rFonts w:cstheme="minorHAnsi"/>
          <w:b/>
          <w:sz w:val="28"/>
          <w:szCs w:val="28"/>
          <w:lang w:val="pl"/>
        </w:rPr>
        <w:t xml:space="preserve">Nabór: </w:t>
      </w:r>
      <w:r w:rsidRPr="00151815">
        <w:rPr>
          <w:rFonts w:cstheme="minorHAnsi"/>
          <w:sz w:val="28"/>
          <w:szCs w:val="28"/>
          <w:lang w:val="pl"/>
        </w:rPr>
        <w:t>FENG.05.0</w:t>
      </w:r>
      <w:r w:rsidRPr="00151815">
        <w:rPr>
          <w:rFonts w:cstheme="minorHAnsi"/>
          <w:sz w:val="28"/>
          <w:szCs w:val="28"/>
        </w:rPr>
        <w:t>1</w:t>
      </w:r>
      <w:r w:rsidRPr="00151815">
        <w:rPr>
          <w:rFonts w:cstheme="minorHAnsi"/>
          <w:sz w:val="28"/>
          <w:szCs w:val="28"/>
          <w:lang w:val="pl"/>
        </w:rPr>
        <w:t>-IP.01-001/25</w:t>
      </w:r>
      <w:r w:rsidR="00481F9A">
        <w:rPr>
          <w:rFonts w:cstheme="minorHAnsi"/>
          <w:sz w:val="28"/>
          <w:szCs w:val="28"/>
          <w:lang w:val="pl"/>
        </w:rPr>
        <w:t xml:space="preserve">, </w:t>
      </w:r>
      <w:r w:rsidR="00481F9A" w:rsidRPr="009A021C">
        <w:rPr>
          <w:rFonts w:cstheme="minorHAnsi"/>
          <w:sz w:val="28"/>
          <w:szCs w:val="28"/>
          <w:lang w:val="pl"/>
        </w:rPr>
        <w:t>FENG.05.0</w:t>
      </w:r>
      <w:r w:rsidR="00481F9A" w:rsidRPr="009A021C">
        <w:rPr>
          <w:rFonts w:cstheme="minorHAnsi"/>
          <w:sz w:val="28"/>
          <w:szCs w:val="28"/>
        </w:rPr>
        <w:t>1</w:t>
      </w:r>
      <w:r w:rsidR="00481F9A" w:rsidRPr="009A021C">
        <w:rPr>
          <w:rFonts w:cstheme="minorHAnsi"/>
          <w:sz w:val="28"/>
          <w:szCs w:val="28"/>
          <w:lang w:val="pl"/>
        </w:rPr>
        <w:t>-IP.01-00</w:t>
      </w:r>
      <w:r w:rsidR="00481F9A">
        <w:rPr>
          <w:rFonts w:cstheme="minorHAnsi"/>
          <w:sz w:val="28"/>
          <w:szCs w:val="28"/>
          <w:lang w:val="pl"/>
        </w:rPr>
        <w:t>2</w:t>
      </w:r>
      <w:r w:rsidR="00481F9A" w:rsidRPr="009A021C">
        <w:rPr>
          <w:rFonts w:cstheme="minorHAnsi"/>
          <w:sz w:val="28"/>
          <w:szCs w:val="28"/>
          <w:lang w:val="pl"/>
        </w:rPr>
        <w:t>/25</w:t>
      </w:r>
    </w:p>
    <w:p w14:paraId="6A91964A" w14:textId="77777777" w:rsidR="0097456F" w:rsidRPr="00151815" w:rsidRDefault="0097456F" w:rsidP="0097456F">
      <w:pPr>
        <w:pStyle w:val="Tekstkomentarza"/>
        <w:tabs>
          <w:tab w:val="left" w:pos="2835"/>
        </w:tabs>
        <w:suppressAutoHyphens/>
        <w:spacing w:before="120" w:line="360" w:lineRule="auto"/>
        <w:ind w:left="567" w:hanging="567"/>
        <w:rPr>
          <w:rFonts w:cstheme="minorHAnsi"/>
          <w:bCs/>
          <w:sz w:val="28"/>
          <w:szCs w:val="28"/>
          <w:lang w:val="pl"/>
        </w:rPr>
      </w:pPr>
      <w:r w:rsidRPr="00151815">
        <w:rPr>
          <w:rFonts w:cstheme="minorHAnsi"/>
          <w:b/>
          <w:sz w:val="28"/>
          <w:szCs w:val="28"/>
          <w:lang w:val="pl"/>
        </w:rPr>
        <w:t xml:space="preserve">Sektor: </w:t>
      </w:r>
      <w:r w:rsidRPr="00151815">
        <w:rPr>
          <w:rFonts w:cstheme="minorHAnsi"/>
          <w:bCs/>
          <w:sz w:val="28"/>
          <w:szCs w:val="28"/>
          <w:lang w:val="pl"/>
        </w:rPr>
        <w:t xml:space="preserve">biotechnologia </w:t>
      </w:r>
    </w:p>
    <w:p w14:paraId="05C0E9B9" w14:textId="022542BC" w:rsidR="0097456F" w:rsidRPr="00151815" w:rsidRDefault="0097456F" w:rsidP="0097456F">
      <w:pPr>
        <w:pStyle w:val="Tekstkomentarza"/>
        <w:tabs>
          <w:tab w:val="left" w:pos="2835"/>
        </w:tabs>
        <w:suppressAutoHyphens/>
        <w:spacing w:before="120" w:line="360" w:lineRule="auto"/>
        <w:rPr>
          <w:rFonts w:cstheme="minorHAnsi"/>
          <w:bCs/>
          <w:sz w:val="28"/>
          <w:szCs w:val="28"/>
        </w:rPr>
      </w:pPr>
      <w:r w:rsidRPr="00151815">
        <w:rPr>
          <w:rFonts w:cstheme="minorHAnsi"/>
          <w:b/>
          <w:sz w:val="28"/>
          <w:szCs w:val="28"/>
          <w:lang w:val="pl"/>
        </w:rPr>
        <w:t>Ścieżka A:</w:t>
      </w:r>
      <w:r w:rsidRPr="00151815">
        <w:rPr>
          <w:rFonts w:cstheme="minorHAnsi"/>
          <w:b/>
          <w:color w:val="C00000"/>
          <w:sz w:val="28"/>
          <w:szCs w:val="28"/>
        </w:rPr>
        <w:t xml:space="preserve"> </w:t>
      </w:r>
      <w:r w:rsidRPr="00151815">
        <w:rPr>
          <w:rFonts w:cstheme="minorHAnsi"/>
          <w:bCs/>
          <w:sz w:val="28"/>
          <w:szCs w:val="28"/>
        </w:rPr>
        <w:t>projekty inwestycyjne, które wnoszą na rynek wewnętrzny innowacyjny lub najnowocześniejszy lub przełomowy element o znaczącym potencjale gospodarczym</w:t>
      </w:r>
    </w:p>
    <w:p w14:paraId="12C18849" w14:textId="16E91E2F" w:rsidR="003849DF" w:rsidRPr="00151815" w:rsidRDefault="003849DF" w:rsidP="0097456F">
      <w:pPr>
        <w:pStyle w:val="Tekstkomentarza"/>
        <w:tabs>
          <w:tab w:val="left" w:pos="2835"/>
        </w:tabs>
        <w:suppressAutoHyphens/>
        <w:spacing w:before="120" w:line="360" w:lineRule="auto"/>
        <w:rPr>
          <w:rFonts w:cstheme="minorHAnsi"/>
          <w:bCs/>
          <w:sz w:val="28"/>
          <w:szCs w:val="28"/>
        </w:rPr>
      </w:pPr>
      <w:r w:rsidRPr="00151815">
        <w:rPr>
          <w:rFonts w:cstheme="minorHAnsi"/>
          <w:b/>
          <w:sz w:val="28"/>
          <w:szCs w:val="28"/>
          <w:lang w:val="pl"/>
        </w:rPr>
        <w:t xml:space="preserve">Ścieżka B: </w:t>
      </w:r>
      <w:r w:rsidRPr="00151815">
        <w:rPr>
          <w:rFonts w:cstheme="minorHAnsi"/>
          <w:bCs/>
          <w:sz w:val="28"/>
          <w:szCs w:val="28"/>
        </w:rPr>
        <w:t>projekty inwestycyjne, które przyczyniają się do ograniczania lub zwalczania strategicznej zależności Unii Europejskiej</w:t>
      </w:r>
    </w:p>
    <w:p w14:paraId="1374C4CB" w14:textId="45F71EAD" w:rsidR="00684E57" w:rsidRPr="0097456F" w:rsidRDefault="0097456F" w:rsidP="0097456F">
      <w:pPr>
        <w:spacing w:before="4000" w:after="120" w:line="276" w:lineRule="auto"/>
        <w:jc w:val="center"/>
        <w:rPr>
          <w:rFonts w:cstheme="minorHAnsi"/>
          <w:sz w:val="32"/>
          <w:szCs w:val="32"/>
        </w:rPr>
      </w:pPr>
      <w:r w:rsidRPr="0097456F">
        <w:rPr>
          <w:rFonts w:cstheme="minorHAnsi"/>
          <w:b/>
          <w:bCs/>
          <w:sz w:val="32"/>
          <w:szCs w:val="32"/>
        </w:rPr>
        <w:t>czerwca</w:t>
      </w:r>
      <w:r w:rsidR="00EF6065" w:rsidRPr="0097456F">
        <w:rPr>
          <w:rFonts w:cstheme="minorHAnsi"/>
          <w:b/>
          <w:bCs/>
          <w:sz w:val="32"/>
          <w:szCs w:val="32"/>
        </w:rPr>
        <w:t xml:space="preserve"> </w:t>
      </w:r>
      <w:r w:rsidR="0041299E" w:rsidRPr="0097456F">
        <w:rPr>
          <w:rFonts w:cstheme="minorHAnsi"/>
          <w:b/>
          <w:bCs/>
          <w:sz w:val="32"/>
          <w:szCs w:val="32"/>
        </w:rPr>
        <w:t>202</w:t>
      </w:r>
      <w:r w:rsidR="00903E67" w:rsidRPr="0097456F">
        <w:rPr>
          <w:rFonts w:cstheme="minorHAnsi"/>
          <w:b/>
          <w:bCs/>
          <w:sz w:val="32"/>
          <w:szCs w:val="32"/>
        </w:rPr>
        <w:t>5</w:t>
      </w:r>
      <w:r w:rsidR="0041299E" w:rsidRPr="0097456F">
        <w:rPr>
          <w:rFonts w:cstheme="minorHAnsi"/>
          <w:b/>
          <w:bCs/>
          <w:sz w:val="32"/>
          <w:szCs w:val="32"/>
        </w:rPr>
        <w:t xml:space="preserve"> r.</w:t>
      </w:r>
      <w:r w:rsidR="00A20A1B" w:rsidRPr="0097456F">
        <w:rPr>
          <w:rFonts w:cstheme="minorHAnsi"/>
          <w:b/>
          <w:bCs/>
          <w:sz w:val="32"/>
          <w:szCs w:val="32"/>
        </w:rPr>
        <w:t xml:space="preserve"> </w:t>
      </w:r>
    </w:p>
    <w:p w14:paraId="700F7E74" w14:textId="241AA044" w:rsidR="00762814" w:rsidRPr="00762814" w:rsidRDefault="00762814" w:rsidP="00762814">
      <w:pPr>
        <w:spacing w:line="276" w:lineRule="auto"/>
        <w:rPr>
          <w:rFonts w:cstheme="minorHAnsi"/>
          <w:lang w:eastAsia="pl-PL"/>
        </w:rPr>
      </w:pPr>
    </w:p>
    <w:sdt>
      <w:sdtPr>
        <w:rPr>
          <w:rFonts w:asciiTheme="minorHAnsi" w:eastAsiaTheme="minorHAnsi" w:hAnsiTheme="minorHAnsi" w:cstheme="minorHAnsi"/>
          <w:color w:val="auto"/>
          <w:sz w:val="22"/>
          <w:szCs w:val="22"/>
          <w:lang w:eastAsia="en-US"/>
        </w:rPr>
        <w:id w:val="-88776923"/>
        <w:docPartObj>
          <w:docPartGallery w:val="Table of Contents"/>
          <w:docPartUnique/>
        </w:docPartObj>
      </w:sdtPr>
      <w:sdtEndPr>
        <w:rPr>
          <w:b/>
          <w:bCs/>
          <w:sz w:val="24"/>
          <w:szCs w:val="24"/>
        </w:rPr>
      </w:sdtEndPr>
      <w:sdtContent>
        <w:p w14:paraId="37B757ED" w14:textId="726E853C" w:rsidR="00F1193F" w:rsidRPr="00762814" w:rsidRDefault="00F1193F" w:rsidP="00762814">
          <w:pPr>
            <w:pStyle w:val="Nagwekspisutreci"/>
            <w:spacing w:before="0" w:after="120" w:line="276" w:lineRule="auto"/>
            <w:rPr>
              <w:rFonts w:asciiTheme="minorHAnsi" w:hAnsiTheme="minorHAnsi" w:cstheme="minorHAnsi"/>
              <w:sz w:val="24"/>
              <w:szCs w:val="24"/>
            </w:rPr>
          </w:pPr>
          <w:r w:rsidRPr="00762814">
            <w:rPr>
              <w:rFonts w:asciiTheme="minorHAnsi" w:hAnsiTheme="minorHAnsi" w:cstheme="minorHAnsi"/>
              <w:sz w:val="24"/>
              <w:szCs w:val="24"/>
            </w:rPr>
            <w:t>Spis treści</w:t>
          </w:r>
        </w:p>
        <w:p w14:paraId="4A830EE0" w14:textId="196B78E6" w:rsidR="005962A6" w:rsidRDefault="00240CE8">
          <w:pPr>
            <w:pStyle w:val="Spistreci2"/>
            <w:rPr>
              <w:rFonts w:eastAsiaTheme="minorEastAsia"/>
              <w:noProof/>
              <w:kern w:val="2"/>
              <w:sz w:val="24"/>
              <w:szCs w:val="24"/>
              <w:lang w:eastAsia="pl-PL"/>
              <w14:ligatures w14:val="standardContextual"/>
            </w:rPr>
          </w:pPr>
          <w:r w:rsidRPr="00907EF1">
            <w:fldChar w:fldCharType="begin"/>
          </w:r>
          <w:r w:rsidRPr="00907EF1">
            <w:instrText xml:space="preserve"> TOC \o "2-4" \h \z </w:instrText>
          </w:r>
          <w:r w:rsidRPr="00907EF1">
            <w:fldChar w:fldCharType="separate"/>
          </w:r>
          <w:hyperlink w:anchor="_Toc202174362" w:history="1">
            <w:r w:rsidR="005962A6" w:rsidRPr="00C31760">
              <w:rPr>
                <w:rStyle w:val="Hipercze"/>
                <w:rFonts w:cstheme="minorHAnsi"/>
                <w:b/>
                <w:noProof/>
              </w:rPr>
              <w:t>1.</w:t>
            </w:r>
            <w:r w:rsidR="005962A6">
              <w:rPr>
                <w:rFonts w:eastAsiaTheme="minorEastAsia"/>
                <w:noProof/>
                <w:kern w:val="2"/>
                <w:sz w:val="24"/>
                <w:szCs w:val="24"/>
                <w:lang w:eastAsia="pl-PL"/>
                <w14:ligatures w14:val="standardContextual"/>
              </w:rPr>
              <w:tab/>
            </w:r>
            <w:r w:rsidR="005962A6" w:rsidRPr="00C31760">
              <w:rPr>
                <w:rStyle w:val="Hipercze"/>
                <w:rFonts w:cstheme="minorHAnsi"/>
                <w:b/>
                <w:noProof/>
              </w:rPr>
              <w:t>Ogólne zasady kwalifikowalności wydatków  w projekcie</w:t>
            </w:r>
            <w:r w:rsidR="005962A6">
              <w:rPr>
                <w:noProof/>
                <w:webHidden/>
              </w:rPr>
              <w:tab/>
            </w:r>
            <w:r w:rsidR="005962A6">
              <w:rPr>
                <w:noProof/>
                <w:webHidden/>
              </w:rPr>
              <w:fldChar w:fldCharType="begin"/>
            </w:r>
            <w:r w:rsidR="005962A6">
              <w:rPr>
                <w:noProof/>
                <w:webHidden/>
              </w:rPr>
              <w:instrText xml:space="preserve"> PAGEREF _Toc202174362 \h </w:instrText>
            </w:r>
            <w:r w:rsidR="005962A6">
              <w:rPr>
                <w:noProof/>
                <w:webHidden/>
              </w:rPr>
            </w:r>
            <w:r w:rsidR="005962A6">
              <w:rPr>
                <w:noProof/>
                <w:webHidden/>
              </w:rPr>
              <w:fldChar w:fldCharType="separate"/>
            </w:r>
            <w:r w:rsidR="005962A6">
              <w:rPr>
                <w:noProof/>
                <w:webHidden/>
              </w:rPr>
              <w:t>4</w:t>
            </w:r>
            <w:r w:rsidR="005962A6">
              <w:rPr>
                <w:noProof/>
                <w:webHidden/>
              </w:rPr>
              <w:fldChar w:fldCharType="end"/>
            </w:r>
          </w:hyperlink>
        </w:p>
        <w:p w14:paraId="20DE8C28" w14:textId="5188D032" w:rsidR="005962A6" w:rsidRDefault="005962A6">
          <w:pPr>
            <w:pStyle w:val="Spistreci3"/>
            <w:rPr>
              <w:rFonts w:eastAsiaTheme="minorEastAsia" w:cstheme="minorBidi"/>
              <w:bCs w:val="0"/>
              <w:kern w:val="2"/>
              <w:lang w:eastAsia="pl-PL"/>
              <w14:ligatures w14:val="standardContextual"/>
            </w:rPr>
          </w:pPr>
          <w:hyperlink w:anchor="_Toc202174363" w:history="1">
            <w:r w:rsidRPr="00C31760">
              <w:rPr>
                <w:rStyle w:val="Hipercze"/>
              </w:rPr>
              <w:t>1.1 Zasady kwalifikowalności wydatków w ramach pomocy publicznej oraz pomocy de minimis</w:t>
            </w:r>
            <w:r>
              <w:rPr>
                <w:webHidden/>
              </w:rPr>
              <w:tab/>
            </w:r>
            <w:r>
              <w:rPr>
                <w:webHidden/>
              </w:rPr>
              <w:fldChar w:fldCharType="begin"/>
            </w:r>
            <w:r>
              <w:rPr>
                <w:webHidden/>
              </w:rPr>
              <w:instrText xml:space="preserve"> PAGEREF _Toc202174363 \h </w:instrText>
            </w:r>
            <w:r>
              <w:rPr>
                <w:webHidden/>
              </w:rPr>
            </w:r>
            <w:r>
              <w:rPr>
                <w:webHidden/>
              </w:rPr>
              <w:fldChar w:fldCharType="separate"/>
            </w:r>
            <w:r>
              <w:rPr>
                <w:webHidden/>
              </w:rPr>
              <w:t>4</w:t>
            </w:r>
            <w:r>
              <w:rPr>
                <w:webHidden/>
              </w:rPr>
              <w:fldChar w:fldCharType="end"/>
            </w:r>
          </w:hyperlink>
        </w:p>
        <w:p w14:paraId="14B399C6" w14:textId="2F8FDC9A" w:rsidR="005962A6" w:rsidRDefault="005962A6">
          <w:pPr>
            <w:pStyle w:val="Spistreci3"/>
            <w:rPr>
              <w:rFonts w:eastAsiaTheme="minorEastAsia" w:cstheme="minorBidi"/>
              <w:bCs w:val="0"/>
              <w:kern w:val="2"/>
              <w:lang w:eastAsia="pl-PL"/>
              <w14:ligatures w14:val="standardContextual"/>
            </w:rPr>
          </w:pPr>
          <w:hyperlink w:anchor="_Toc202174364" w:history="1">
            <w:r w:rsidRPr="00C31760">
              <w:rPr>
                <w:rStyle w:val="Hipercze"/>
              </w:rPr>
              <w:t>1.2 Zasady kwalifikowalności podatku VAT</w:t>
            </w:r>
            <w:r>
              <w:rPr>
                <w:webHidden/>
              </w:rPr>
              <w:tab/>
            </w:r>
            <w:r>
              <w:rPr>
                <w:webHidden/>
              </w:rPr>
              <w:fldChar w:fldCharType="begin"/>
            </w:r>
            <w:r>
              <w:rPr>
                <w:webHidden/>
              </w:rPr>
              <w:instrText xml:space="preserve"> PAGEREF _Toc202174364 \h </w:instrText>
            </w:r>
            <w:r>
              <w:rPr>
                <w:webHidden/>
              </w:rPr>
            </w:r>
            <w:r>
              <w:rPr>
                <w:webHidden/>
              </w:rPr>
              <w:fldChar w:fldCharType="separate"/>
            </w:r>
            <w:r>
              <w:rPr>
                <w:webHidden/>
              </w:rPr>
              <w:t>7</w:t>
            </w:r>
            <w:r>
              <w:rPr>
                <w:webHidden/>
              </w:rPr>
              <w:fldChar w:fldCharType="end"/>
            </w:r>
          </w:hyperlink>
        </w:p>
        <w:p w14:paraId="491F0018" w14:textId="7B36632D" w:rsidR="005962A6" w:rsidRDefault="005962A6">
          <w:pPr>
            <w:pStyle w:val="Spistreci2"/>
            <w:rPr>
              <w:rFonts w:eastAsiaTheme="minorEastAsia"/>
              <w:noProof/>
              <w:kern w:val="2"/>
              <w:sz w:val="24"/>
              <w:szCs w:val="24"/>
              <w:lang w:eastAsia="pl-PL"/>
              <w14:ligatures w14:val="standardContextual"/>
            </w:rPr>
          </w:pPr>
          <w:hyperlink w:anchor="_Toc202174365" w:history="1">
            <w:r w:rsidRPr="00C31760">
              <w:rPr>
                <w:rStyle w:val="Hipercze"/>
                <w:rFonts w:cstheme="minorHAnsi"/>
                <w:b/>
                <w:noProof/>
              </w:rPr>
              <w:t>2.</w:t>
            </w:r>
            <w:r>
              <w:rPr>
                <w:rFonts w:eastAsiaTheme="minorEastAsia"/>
                <w:noProof/>
                <w:kern w:val="2"/>
                <w:sz w:val="24"/>
                <w:szCs w:val="24"/>
                <w:lang w:eastAsia="pl-PL"/>
                <w14:ligatures w14:val="standardContextual"/>
              </w:rPr>
              <w:tab/>
            </w:r>
            <w:r w:rsidRPr="00C31760">
              <w:rPr>
                <w:rStyle w:val="Hipercze"/>
                <w:rFonts w:cstheme="minorHAnsi"/>
                <w:b/>
                <w:noProof/>
              </w:rPr>
              <w:t>Wkład własny</w:t>
            </w:r>
            <w:r>
              <w:rPr>
                <w:noProof/>
                <w:webHidden/>
              </w:rPr>
              <w:tab/>
            </w:r>
            <w:r>
              <w:rPr>
                <w:noProof/>
                <w:webHidden/>
              </w:rPr>
              <w:fldChar w:fldCharType="begin"/>
            </w:r>
            <w:r>
              <w:rPr>
                <w:noProof/>
                <w:webHidden/>
              </w:rPr>
              <w:instrText xml:space="preserve"> PAGEREF _Toc202174365 \h </w:instrText>
            </w:r>
            <w:r>
              <w:rPr>
                <w:noProof/>
                <w:webHidden/>
              </w:rPr>
            </w:r>
            <w:r>
              <w:rPr>
                <w:noProof/>
                <w:webHidden/>
              </w:rPr>
              <w:fldChar w:fldCharType="separate"/>
            </w:r>
            <w:r>
              <w:rPr>
                <w:noProof/>
                <w:webHidden/>
              </w:rPr>
              <w:t>8</w:t>
            </w:r>
            <w:r>
              <w:rPr>
                <w:noProof/>
                <w:webHidden/>
              </w:rPr>
              <w:fldChar w:fldCharType="end"/>
            </w:r>
          </w:hyperlink>
        </w:p>
        <w:p w14:paraId="45537747" w14:textId="1E50165F" w:rsidR="005962A6" w:rsidRDefault="005962A6">
          <w:pPr>
            <w:pStyle w:val="Spistreci2"/>
            <w:rPr>
              <w:rFonts w:eastAsiaTheme="minorEastAsia"/>
              <w:noProof/>
              <w:kern w:val="2"/>
              <w:sz w:val="24"/>
              <w:szCs w:val="24"/>
              <w:lang w:eastAsia="pl-PL"/>
              <w14:ligatures w14:val="standardContextual"/>
            </w:rPr>
          </w:pPr>
          <w:hyperlink w:anchor="_Toc202174366" w:history="1">
            <w:r w:rsidRPr="00C31760">
              <w:rPr>
                <w:rStyle w:val="Hipercze"/>
                <w:rFonts w:cstheme="minorHAnsi"/>
                <w:b/>
                <w:noProof/>
              </w:rPr>
              <w:t>3.</w:t>
            </w:r>
            <w:r>
              <w:rPr>
                <w:rFonts w:eastAsiaTheme="minorEastAsia"/>
                <w:noProof/>
                <w:kern w:val="2"/>
                <w:sz w:val="24"/>
                <w:szCs w:val="24"/>
                <w:lang w:eastAsia="pl-PL"/>
                <w14:ligatures w14:val="standardContextual"/>
              </w:rPr>
              <w:tab/>
            </w:r>
            <w:r w:rsidRPr="00C31760">
              <w:rPr>
                <w:rStyle w:val="Hipercze"/>
                <w:rFonts w:cstheme="minorHAnsi"/>
                <w:b/>
                <w:noProof/>
              </w:rPr>
              <w:t>Wydatki kwalifikowalne w projekcie w ramach Regionalnej pomocy inwestycyjnej</w:t>
            </w:r>
            <w:r>
              <w:rPr>
                <w:noProof/>
                <w:webHidden/>
              </w:rPr>
              <w:tab/>
            </w:r>
            <w:r>
              <w:rPr>
                <w:noProof/>
                <w:webHidden/>
              </w:rPr>
              <w:fldChar w:fldCharType="begin"/>
            </w:r>
            <w:r>
              <w:rPr>
                <w:noProof/>
                <w:webHidden/>
              </w:rPr>
              <w:instrText xml:space="preserve"> PAGEREF _Toc202174366 \h </w:instrText>
            </w:r>
            <w:r>
              <w:rPr>
                <w:noProof/>
                <w:webHidden/>
              </w:rPr>
            </w:r>
            <w:r>
              <w:rPr>
                <w:noProof/>
                <w:webHidden/>
              </w:rPr>
              <w:fldChar w:fldCharType="separate"/>
            </w:r>
            <w:r>
              <w:rPr>
                <w:noProof/>
                <w:webHidden/>
              </w:rPr>
              <w:t>9</w:t>
            </w:r>
            <w:r>
              <w:rPr>
                <w:noProof/>
                <w:webHidden/>
              </w:rPr>
              <w:fldChar w:fldCharType="end"/>
            </w:r>
          </w:hyperlink>
        </w:p>
        <w:p w14:paraId="2E13C17A" w14:textId="4EDEE32E" w:rsidR="005962A6" w:rsidRDefault="005962A6">
          <w:pPr>
            <w:pStyle w:val="Spistreci3"/>
            <w:rPr>
              <w:rFonts w:eastAsiaTheme="minorEastAsia" w:cstheme="minorBidi"/>
              <w:bCs w:val="0"/>
              <w:kern w:val="2"/>
              <w:lang w:eastAsia="pl-PL"/>
              <w14:ligatures w14:val="standardContextual"/>
            </w:rPr>
          </w:pPr>
          <w:hyperlink w:anchor="_Toc202174367" w:history="1">
            <w:r w:rsidRPr="00C31760">
              <w:rPr>
                <w:rStyle w:val="Hipercze"/>
              </w:rPr>
              <w:t>3.1 Pomoc publiczna</w:t>
            </w:r>
            <w:r>
              <w:rPr>
                <w:webHidden/>
              </w:rPr>
              <w:tab/>
            </w:r>
            <w:r>
              <w:rPr>
                <w:webHidden/>
              </w:rPr>
              <w:fldChar w:fldCharType="begin"/>
            </w:r>
            <w:r>
              <w:rPr>
                <w:webHidden/>
              </w:rPr>
              <w:instrText xml:space="preserve"> PAGEREF _Toc202174367 \h </w:instrText>
            </w:r>
            <w:r>
              <w:rPr>
                <w:webHidden/>
              </w:rPr>
            </w:r>
            <w:r>
              <w:rPr>
                <w:webHidden/>
              </w:rPr>
              <w:fldChar w:fldCharType="separate"/>
            </w:r>
            <w:r>
              <w:rPr>
                <w:webHidden/>
              </w:rPr>
              <w:t>9</w:t>
            </w:r>
            <w:r>
              <w:rPr>
                <w:webHidden/>
              </w:rPr>
              <w:fldChar w:fldCharType="end"/>
            </w:r>
          </w:hyperlink>
        </w:p>
        <w:p w14:paraId="46F22143" w14:textId="36D44277" w:rsidR="005962A6" w:rsidRDefault="005962A6">
          <w:pPr>
            <w:pStyle w:val="Spistreci3"/>
            <w:rPr>
              <w:rFonts w:eastAsiaTheme="minorEastAsia" w:cstheme="minorBidi"/>
              <w:bCs w:val="0"/>
              <w:kern w:val="2"/>
              <w:lang w:eastAsia="pl-PL"/>
              <w14:ligatures w14:val="standardContextual"/>
            </w:rPr>
          </w:pPr>
          <w:hyperlink w:anchor="_Toc202174368" w:history="1">
            <w:r w:rsidRPr="00C31760">
              <w:rPr>
                <w:rStyle w:val="Hipercze"/>
              </w:rPr>
              <w:t>3.2 Limity wydatków kwalifikowalnych oraz limity dofinansowania</w:t>
            </w:r>
            <w:r>
              <w:rPr>
                <w:webHidden/>
              </w:rPr>
              <w:tab/>
            </w:r>
            <w:r>
              <w:rPr>
                <w:webHidden/>
              </w:rPr>
              <w:fldChar w:fldCharType="begin"/>
            </w:r>
            <w:r>
              <w:rPr>
                <w:webHidden/>
              </w:rPr>
              <w:instrText xml:space="preserve"> PAGEREF _Toc202174368 \h </w:instrText>
            </w:r>
            <w:r>
              <w:rPr>
                <w:webHidden/>
              </w:rPr>
            </w:r>
            <w:r>
              <w:rPr>
                <w:webHidden/>
              </w:rPr>
              <w:fldChar w:fldCharType="separate"/>
            </w:r>
            <w:r>
              <w:rPr>
                <w:webHidden/>
              </w:rPr>
              <w:t>9</w:t>
            </w:r>
            <w:r>
              <w:rPr>
                <w:webHidden/>
              </w:rPr>
              <w:fldChar w:fldCharType="end"/>
            </w:r>
          </w:hyperlink>
        </w:p>
        <w:p w14:paraId="51F2ED2B" w14:textId="7EDF33C1" w:rsidR="005962A6" w:rsidRDefault="005962A6">
          <w:pPr>
            <w:pStyle w:val="Spistreci3"/>
            <w:rPr>
              <w:rFonts w:eastAsiaTheme="minorEastAsia" w:cstheme="minorBidi"/>
              <w:bCs w:val="0"/>
              <w:kern w:val="2"/>
              <w:lang w:eastAsia="pl-PL"/>
              <w14:ligatures w14:val="standardContextual"/>
            </w:rPr>
          </w:pPr>
          <w:hyperlink w:anchor="_Toc202174369" w:history="1">
            <w:r w:rsidRPr="00C31760">
              <w:rPr>
                <w:rStyle w:val="Hipercze"/>
              </w:rPr>
              <w:t>3.3</w:t>
            </w:r>
            <w:r>
              <w:rPr>
                <w:rFonts w:eastAsiaTheme="minorEastAsia" w:cstheme="minorBidi"/>
                <w:bCs w:val="0"/>
                <w:kern w:val="2"/>
                <w:lang w:eastAsia="pl-PL"/>
                <w14:ligatures w14:val="standardContextual"/>
              </w:rPr>
              <w:tab/>
            </w:r>
            <w:r w:rsidRPr="00C31760">
              <w:rPr>
                <w:rStyle w:val="Hipercze"/>
              </w:rPr>
              <w:t>Kategorie wydatków kwalifikowalnych</w:t>
            </w:r>
            <w:r>
              <w:rPr>
                <w:webHidden/>
              </w:rPr>
              <w:tab/>
            </w:r>
            <w:r>
              <w:rPr>
                <w:webHidden/>
              </w:rPr>
              <w:fldChar w:fldCharType="begin"/>
            </w:r>
            <w:r>
              <w:rPr>
                <w:webHidden/>
              </w:rPr>
              <w:instrText xml:space="preserve"> PAGEREF _Toc202174369 \h </w:instrText>
            </w:r>
            <w:r>
              <w:rPr>
                <w:webHidden/>
              </w:rPr>
            </w:r>
            <w:r>
              <w:rPr>
                <w:webHidden/>
              </w:rPr>
              <w:fldChar w:fldCharType="separate"/>
            </w:r>
            <w:r>
              <w:rPr>
                <w:webHidden/>
              </w:rPr>
              <w:t>9</w:t>
            </w:r>
            <w:r>
              <w:rPr>
                <w:webHidden/>
              </w:rPr>
              <w:fldChar w:fldCharType="end"/>
            </w:r>
          </w:hyperlink>
        </w:p>
        <w:p w14:paraId="6F815EB0" w14:textId="2727863E" w:rsidR="005962A6" w:rsidRDefault="005962A6">
          <w:pPr>
            <w:pStyle w:val="Spistreci4"/>
            <w:tabs>
              <w:tab w:val="right" w:leader="dot" w:pos="9062"/>
            </w:tabs>
            <w:rPr>
              <w:noProof/>
              <w:kern w:val="2"/>
              <w:sz w:val="24"/>
              <w:szCs w:val="24"/>
              <w14:ligatures w14:val="standardContextual"/>
            </w:rPr>
          </w:pPr>
          <w:hyperlink w:anchor="_Toc202174370" w:history="1">
            <w:r w:rsidRPr="00C31760">
              <w:rPr>
                <w:rStyle w:val="Hipercze"/>
                <w:rFonts w:cstheme="minorHAnsi"/>
                <w:noProof/>
              </w:rPr>
              <w:t>3.3.1 Grunty</w:t>
            </w:r>
            <w:r>
              <w:rPr>
                <w:noProof/>
                <w:webHidden/>
              </w:rPr>
              <w:tab/>
            </w:r>
            <w:r>
              <w:rPr>
                <w:noProof/>
                <w:webHidden/>
              </w:rPr>
              <w:fldChar w:fldCharType="begin"/>
            </w:r>
            <w:r>
              <w:rPr>
                <w:noProof/>
                <w:webHidden/>
              </w:rPr>
              <w:instrText xml:space="preserve"> PAGEREF _Toc202174370 \h </w:instrText>
            </w:r>
            <w:r>
              <w:rPr>
                <w:noProof/>
                <w:webHidden/>
              </w:rPr>
            </w:r>
            <w:r>
              <w:rPr>
                <w:noProof/>
                <w:webHidden/>
              </w:rPr>
              <w:fldChar w:fldCharType="separate"/>
            </w:r>
            <w:r>
              <w:rPr>
                <w:noProof/>
                <w:webHidden/>
              </w:rPr>
              <w:t>10</w:t>
            </w:r>
            <w:r>
              <w:rPr>
                <w:noProof/>
                <w:webHidden/>
              </w:rPr>
              <w:fldChar w:fldCharType="end"/>
            </w:r>
          </w:hyperlink>
        </w:p>
        <w:p w14:paraId="511A7E7F" w14:textId="207FB674" w:rsidR="005962A6" w:rsidRDefault="005962A6">
          <w:pPr>
            <w:pStyle w:val="Spistreci4"/>
            <w:tabs>
              <w:tab w:val="right" w:leader="dot" w:pos="9062"/>
            </w:tabs>
            <w:rPr>
              <w:noProof/>
              <w:kern w:val="2"/>
              <w:sz w:val="24"/>
              <w:szCs w:val="24"/>
              <w14:ligatures w14:val="standardContextual"/>
            </w:rPr>
          </w:pPr>
          <w:hyperlink w:anchor="_Toc202174371" w:history="1">
            <w:r w:rsidRPr="00C31760">
              <w:rPr>
                <w:rStyle w:val="Hipercze"/>
                <w:rFonts w:cstheme="minorHAnsi"/>
                <w:noProof/>
              </w:rPr>
              <w:t>3.3.2 Nieruchomości zabudowane</w:t>
            </w:r>
            <w:r>
              <w:rPr>
                <w:noProof/>
                <w:webHidden/>
              </w:rPr>
              <w:tab/>
            </w:r>
            <w:r>
              <w:rPr>
                <w:noProof/>
                <w:webHidden/>
              </w:rPr>
              <w:fldChar w:fldCharType="begin"/>
            </w:r>
            <w:r>
              <w:rPr>
                <w:noProof/>
                <w:webHidden/>
              </w:rPr>
              <w:instrText xml:space="preserve"> PAGEREF _Toc202174371 \h </w:instrText>
            </w:r>
            <w:r>
              <w:rPr>
                <w:noProof/>
                <w:webHidden/>
              </w:rPr>
            </w:r>
            <w:r>
              <w:rPr>
                <w:noProof/>
                <w:webHidden/>
              </w:rPr>
              <w:fldChar w:fldCharType="separate"/>
            </w:r>
            <w:r>
              <w:rPr>
                <w:noProof/>
                <w:webHidden/>
              </w:rPr>
              <w:t>10</w:t>
            </w:r>
            <w:r>
              <w:rPr>
                <w:noProof/>
                <w:webHidden/>
              </w:rPr>
              <w:fldChar w:fldCharType="end"/>
            </w:r>
          </w:hyperlink>
        </w:p>
        <w:p w14:paraId="0073B205" w14:textId="04835E2F" w:rsidR="005962A6" w:rsidRDefault="005962A6">
          <w:pPr>
            <w:pStyle w:val="Spistreci4"/>
            <w:tabs>
              <w:tab w:val="right" w:leader="dot" w:pos="9062"/>
            </w:tabs>
            <w:rPr>
              <w:noProof/>
              <w:kern w:val="2"/>
              <w:sz w:val="24"/>
              <w:szCs w:val="24"/>
              <w14:ligatures w14:val="standardContextual"/>
            </w:rPr>
          </w:pPr>
          <w:hyperlink w:anchor="_Toc202174372" w:history="1">
            <w:r w:rsidRPr="00C31760">
              <w:rPr>
                <w:rStyle w:val="Hipercze"/>
                <w:rFonts w:cstheme="minorHAnsi"/>
                <w:noProof/>
              </w:rPr>
              <w:t>3.3.3 Środki trwałe/dostawy</w:t>
            </w:r>
            <w:r>
              <w:rPr>
                <w:noProof/>
                <w:webHidden/>
              </w:rPr>
              <w:tab/>
            </w:r>
            <w:r>
              <w:rPr>
                <w:noProof/>
                <w:webHidden/>
              </w:rPr>
              <w:fldChar w:fldCharType="begin"/>
            </w:r>
            <w:r>
              <w:rPr>
                <w:noProof/>
                <w:webHidden/>
              </w:rPr>
              <w:instrText xml:space="preserve"> PAGEREF _Toc202174372 \h </w:instrText>
            </w:r>
            <w:r>
              <w:rPr>
                <w:noProof/>
                <w:webHidden/>
              </w:rPr>
            </w:r>
            <w:r>
              <w:rPr>
                <w:noProof/>
                <w:webHidden/>
              </w:rPr>
              <w:fldChar w:fldCharType="separate"/>
            </w:r>
            <w:r>
              <w:rPr>
                <w:noProof/>
                <w:webHidden/>
              </w:rPr>
              <w:t>11</w:t>
            </w:r>
            <w:r>
              <w:rPr>
                <w:noProof/>
                <w:webHidden/>
              </w:rPr>
              <w:fldChar w:fldCharType="end"/>
            </w:r>
          </w:hyperlink>
        </w:p>
        <w:p w14:paraId="71812229" w14:textId="0B8DCA0F" w:rsidR="005962A6" w:rsidRDefault="005962A6">
          <w:pPr>
            <w:pStyle w:val="Spistreci4"/>
            <w:tabs>
              <w:tab w:val="right" w:leader="dot" w:pos="9062"/>
            </w:tabs>
            <w:rPr>
              <w:noProof/>
              <w:kern w:val="2"/>
              <w:sz w:val="24"/>
              <w:szCs w:val="24"/>
              <w14:ligatures w14:val="standardContextual"/>
            </w:rPr>
          </w:pPr>
          <w:hyperlink w:anchor="_Toc202174373" w:history="1">
            <w:r w:rsidRPr="00C31760">
              <w:rPr>
                <w:rStyle w:val="Hipercze"/>
                <w:rFonts w:cstheme="minorHAnsi"/>
                <w:noProof/>
              </w:rPr>
              <w:t>3.3.4 Roboty budowlane</w:t>
            </w:r>
            <w:r>
              <w:rPr>
                <w:noProof/>
                <w:webHidden/>
              </w:rPr>
              <w:tab/>
            </w:r>
            <w:r>
              <w:rPr>
                <w:noProof/>
                <w:webHidden/>
              </w:rPr>
              <w:fldChar w:fldCharType="begin"/>
            </w:r>
            <w:r>
              <w:rPr>
                <w:noProof/>
                <w:webHidden/>
              </w:rPr>
              <w:instrText xml:space="preserve"> PAGEREF _Toc202174373 \h </w:instrText>
            </w:r>
            <w:r>
              <w:rPr>
                <w:noProof/>
                <w:webHidden/>
              </w:rPr>
            </w:r>
            <w:r>
              <w:rPr>
                <w:noProof/>
                <w:webHidden/>
              </w:rPr>
              <w:fldChar w:fldCharType="separate"/>
            </w:r>
            <w:r>
              <w:rPr>
                <w:noProof/>
                <w:webHidden/>
              </w:rPr>
              <w:t>11</w:t>
            </w:r>
            <w:r>
              <w:rPr>
                <w:noProof/>
                <w:webHidden/>
              </w:rPr>
              <w:fldChar w:fldCharType="end"/>
            </w:r>
          </w:hyperlink>
        </w:p>
        <w:p w14:paraId="02086F84" w14:textId="1E30B793" w:rsidR="005962A6" w:rsidRDefault="005962A6">
          <w:pPr>
            <w:pStyle w:val="Spistreci4"/>
            <w:tabs>
              <w:tab w:val="right" w:leader="dot" w:pos="9062"/>
            </w:tabs>
            <w:rPr>
              <w:noProof/>
              <w:kern w:val="2"/>
              <w:sz w:val="24"/>
              <w:szCs w:val="24"/>
              <w14:ligatures w14:val="standardContextual"/>
            </w:rPr>
          </w:pPr>
          <w:hyperlink w:anchor="_Toc202174374" w:history="1">
            <w:r w:rsidRPr="00C31760">
              <w:rPr>
                <w:rStyle w:val="Hipercze"/>
                <w:rFonts w:cstheme="minorHAnsi"/>
                <w:noProof/>
              </w:rPr>
              <w:t>3.3.5 Wartości niematerialne i prawne</w:t>
            </w:r>
            <w:r>
              <w:rPr>
                <w:noProof/>
                <w:webHidden/>
              </w:rPr>
              <w:tab/>
            </w:r>
            <w:r>
              <w:rPr>
                <w:noProof/>
                <w:webHidden/>
              </w:rPr>
              <w:fldChar w:fldCharType="begin"/>
            </w:r>
            <w:r>
              <w:rPr>
                <w:noProof/>
                <w:webHidden/>
              </w:rPr>
              <w:instrText xml:space="preserve"> PAGEREF _Toc202174374 \h </w:instrText>
            </w:r>
            <w:r>
              <w:rPr>
                <w:noProof/>
                <w:webHidden/>
              </w:rPr>
            </w:r>
            <w:r>
              <w:rPr>
                <w:noProof/>
                <w:webHidden/>
              </w:rPr>
              <w:fldChar w:fldCharType="separate"/>
            </w:r>
            <w:r>
              <w:rPr>
                <w:noProof/>
                <w:webHidden/>
              </w:rPr>
              <w:t>11</w:t>
            </w:r>
            <w:r>
              <w:rPr>
                <w:noProof/>
                <w:webHidden/>
              </w:rPr>
              <w:fldChar w:fldCharType="end"/>
            </w:r>
          </w:hyperlink>
        </w:p>
        <w:p w14:paraId="18AADA45" w14:textId="53B15FAD" w:rsidR="005962A6" w:rsidRDefault="005962A6">
          <w:pPr>
            <w:pStyle w:val="Spistreci2"/>
            <w:rPr>
              <w:rFonts w:eastAsiaTheme="minorEastAsia"/>
              <w:noProof/>
              <w:kern w:val="2"/>
              <w:sz w:val="24"/>
              <w:szCs w:val="24"/>
              <w:lang w:eastAsia="pl-PL"/>
              <w14:ligatures w14:val="standardContextual"/>
            </w:rPr>
          </w:pPr>
          <w:hyperlink w:anchor="_Toc202174375" w:history="1">
            <w:r w:rsidRPr="00C31760">
              <w:rPr>
                <w:rStyle w:val="Hipercze"/>
                <w:rFonts w:cstheme="minorHAnsi"/>
                <w:b/>
                <w:noProof/>
              </w:rPr>
              <w:t>4.</w:t>
            </w:r>
            <w:r>
              <w:rPr>
                <w:rFonts w:eastAsiaTheme="minorEastAsia"/>
                <w:noProof/>
                <w:kern w:val="2"/>
                <w:sz w:val="24"/>
                <w:szCs w:val="24"/>
                <w:lang w:eastAsia="pl-PL"/>
                <w14:ligatures w14:val="standardContextual"/>
              </w:rPr>
              <w:tab/>
            </w:r>
            <w:r w:rsidRPr="00C31760">
              <w:rPr>
                <w:rStyle w:val="Hipercze"/>
                <w:rFonts w:cstheme="minorHAnsi"/>
                <w:b/>
                <w:noProof/>
              </w:rPr>
              <w:t>Wydatki kwalifikowalne na usługi doradcze</w:t>
            </w:r>
            <w:r>
              <w:rPr>
                <w:noProof/>
                <w:webHidden/>
              </w:rPr>
              <w:tab/>
            </w:r>
            <w:r>
              <w:rPr>
                <w:noProof/>
                <w:webHidden/>
              </w:rPr>
              <w:fldChar w:fldCharType="begin"/>
            </w:r>
            <w:r>
              <w:rPr>
                <w:noProof/>
                <w:webHidden/>
              </w:rPr>
              <w:instrText xml:space="preserve"> PAGEREF _Toc202174375 \h </w:instrText>
            </w:r>
            <w:r>
              <w:rPr>
                <w:noProof/>
                <w:webHidden/>
              </w:rPr>
            </w:r>
            <w:r>
              <w:rPr>
                <w:noProof/>
                <w:webHidden/>
              </w:rPr>
              <w:fldChar w:fldCharType="separate"/>
            </w:r>
            <w:r>
              <w:rPr>
                <w:noProof/>
                <w:webHidden/>
              </w:rPr>
              <w:t>12</w:t>
            </w:r>
            <w:r>
              <w:rPr>
                <w:noProof/>
                <w:webHidden/>
              </w:rPr>
              <w:fldChar w:fldCharType="end"/>
            </w:r>
          </w:hyperlink>
        </w:p>
        <w:p w14:paraId="6D844F33" w14:textId="447211D3" w:rsidR="005962A6" w:rsidRDefault="005962A6">
          <w:pPr>
            <w:pStyle w:val="Spistreci3"/>
            <w:rPr>
              <w:rFonts w:eastAsiaTheme="minorEastAsia" w:cstheme="minorBidi"/>
              <w:bCs w:val="0"/>
              <w:kern w:val="2"/>
              <w:lang w:eastAsia="pl-PL"/>
              <w14:ligatures w14:val="standardContextual"/>
            </w:rPr>
          </w:pPr>
          <w:hyperlink w:anchor="_Toc202174377" w:history="1">
            <w:r w:rsidRPr="00C31760">
              <w:rPr>
                <w:rStyle w:val="Hipercze"/>
              </w:rPr>
              <w:t>4.1</w:t>
            </w:r>
            <w:r>
              <w:rPr>
                <w:rFonts w:eastAsiaTheme="minorEastAsia" w:cstheme="minorBidi"/>
                <w:bCs w:val="0"/>
                <w:kern w:val="2"/>
                <w:lang w:eastAsia="pl-PL"/>
                <w14:ligatures w14:val="standardContextual"/>
              </w:rPr>
              <w:tab/>
            </w:r>
            <w:r w:rsidRPr="00C31760">
              <w:rPr>
                <w:rStyle w:val="Hipercze"/>
              </w:rPr>
              <w:t>Pomoc publiczna</w:t>
            </w:r>
            <w:r>
              <w:rPr>
                <w:webHidden/>
              </w:rPr>
              <w:tab/>
            </w:r>
            <w:r>
              <w:rPr>
                <w:webHidden/>
              </w:rPr>
              <w:fldChar w:fldCharType="begin"/>
            </w:r>
            <w:r>
              <w:rPr>
                <w:webHidden/>
              </w:rPr>
              <w:instrText xml:space="preserve"> PAGEREF _Toc202174377 \h </w:instrText>
            </w:r>
            <w:r>
              <w:rPr>
                <w:webHidden/>
              </w:rPr>
            </w:r>
            <w:r>
              <w:rPr>
                <w:webHidden/>
              </w:rPr>
              <w:fldChar w:fldCharType="separate"/>
            </w:r>
            <w:r>
              <w:rPr>
                <w:webHidden/>
              </w:rPr>
              <w:t>12</w:t>
            </w:r>
            <w:r>
              <w:rPr>
                <w:webHidden/>
              </w:rPr>
              <w:fldChar w:fldCharType="end"/>
            </w:r>
          </w:hyperlink>
        </w:p>
        <w:p w14:paraId="07DF48F9" w14:textId="3747C38A" w:rsidR="005962A6" w:rsidRDefault="005962A6">
          <w:pPr>
            <w:pStyle w:val="Spistreci3"/>
            <w:rPr>
              <w:rFonts w:eastAsiaTheme="minorEastAsia" w:cstheme="minorBidi"/>
              <w:bCs w:val="0"/>
              <w:kern w:val="2"/>
              <w:lang w:eastAsia="pl-PL"/>
              <w14:ligatures w14:val="standardContextual"/>
            </w:rPr>
          </w:pPr>
          <w:hyperlink w:anchor="_Toc202174379" w:history="1">
            <w:r w:rsidRPr="00C31760">
              <w:rPr>
                <w:rStyle w:val="Hipercze"/>
              </w:rPr>
              <w:t>4.2</w:t>
            </w:r>
            <w:r>
              <w:rPr>
                <w:rFonts w:eastAsiaTheme="minorEastAsia" w:cstheme="minorBidi"/>
                <w:bCs w:val="0"/>
                <w:kern w:val="2"/>
                <w:lang w:eastAsia="pl-PL"/>
                <w14:ligatures w14:val="standardContextual"/>
              </w:rPr>
              <w:tab/>
            </w:r>
            <w:r w:rsidRPr="00C31760">
              <w:rPr>
                <w:rStyle w:val="Hipercze"/>
              </w:rPr>
              <w:t>Limity wydatków kwalifikowalnych oraz limity dofinansowania</w:t>
            </w:r>
            <w:r>
              <w:rPr>
                <w:webHidden/>
              </w:rPr>
              <w:tab/>
            </w:r>
            <w:r>
              <w:rPr>
                <w:webHidden/>
              </w:rPr>
              <w:fldChar w:fldCharType="begin"/>
            </w:r>
            <w:r>
              <w:rPr>
                <w:webHidden/>
              </w:rPr>
              <w:instrText xml:space="preserve"> PAGEREF _Toc202174379 \h </w:instrText>
            </w:r>
            <w:r>
              <w:rPr>
                <w:webHidden/>
              </w:rPr>
            </w:r>
            <w:r>
              <w:rPr>
                <w:webHidden/>
              </w:rPr>
              <w:fldChar w:fldCharType="separate"/>
            </w:r>
            <w:r>
              <w:rPr>
                <w:webHidden/>
              </w:rPr>
              <w:t>12</w:t>
            </w:r>
            <w:r>
              <w:rPr>
                <w:webHidden/>
              </w:rPr>
              <w:fldChar w:fldCharType="end"/>
            </w:r>
          </w:hyperlink>
        </w:p>
        <w:p w14:paraId="1BFF2C3C" w14:textId="5115187B" w:rsidR="005962A6" w:rsidRDefault="005962A6">
          <w:pPr>
            <w:pStyle w:val="Spistreci3"/>
            <w:rPr>
              <w:rFonts w:eastAsiaTheme="minorEastAsia" w:cstheme="minorBidi"/>
              <w:bCs w:val="0"/>
              <w:kern w:val="2"/>
              <w:lang w:eastAsia="pl-PL"/>
              <w14:ligatures w14:val="standardContextual"/>
            </w:rPr>
          </w:pPr>
          <w:hyperlink w:anchor="_Toc202174381" w:history="1">
            <w:r w:rsidRPr="00C31760">
              <w:rPr>
                <w:rStyle w:val="Hipercze"/>
              </w:rPr>
              <w:t>4.3</w:t>
            </w:r>
            <w:r>
              <w:rPr>
                <w:rFonts w:eastAsiaTheme="minorEastAsia" w:cstheme="minorBidi"/>
                <w:bCs w:val="0"/>
                <w:kern w:val="2"/>
                <w:lang w:eastAsia="pl-PL"/>
                <w14:ligatures w14:val="standardContextual"/>
              </w:rPr>
              <w:tab/>
            </w:r>
            <w:r w:rsidRPr="00C31760">
              <w:rPr>
                <w:rStyle w:val="Hipercze"/>
              </w:rPr>
              <w:t>Kategorie wydatków kwalifikowalnych</w:t>
            </w:r>
            <w:r>
              <w:rPr>
                <w:webHidden/>
              </w:rPr>
              <w:tab/>
            </w:r>
            <w:r>
              <w:rPr>
                <w:webHidden/>
              </w:rPr>
              <w:fldChar w:fldCharType="begin"/>
            </w:r>
            <w:r>
              <w:rPr>
                <w:webHidden/>
              </w:rPr>
              <w:instrText xml:space="preserve"> PAGEREF _Toc202174381 \h </w:instrText>
            </w:r>
            <w:r>
              <w:rPr>
                <w:webHidden/>
              </w:rPr>
            </w:r>
            <w:r>
              <w:rPr>
                <w:webHidden/>
              </w:rPr>
              <w:fldChar w:fldCharType="separate"/>
            </w:r>
            <w:r>
              <w:rPr>
                <w:webHidden/>
              </w:rPr>
              <w:t>12</w:t>
            </w:r>
            <w:r>
              <w:rPr>
                <w:webHidden/>
              </w:rPr>
              <w:fldChar w:fldCharType="end"/>
            </w:r>
          </w:hyperlink>
        </w:p>
        <w:p w14:paraId="2750C0FB" w14:textId="3E678700" w:rsidR="005962A6" w:rsidRDefault="005962A6">
          <w:pPr>
            <w:pStyle w:val="Spistreci4"/>
            <w:tabs>
              <w:tab w:val="right" w:leader="dot" w:pos="9062"/>
            </w:tabs>
            <w:rPr>
              <w:noProof/>
              <w:kern w:val="2"/>
              <w:sz w:val="24"/>
              <w:szCs w:val="24"/>
              <w14:ligatures w14:val="standardContextual"/>
            </w:rPr>
          </w:pPr>
          <w:hyperlink w:anchor="_Toc202174382" w:history="1">
            <w:r w:rsidRPr="00C31760">
              <w:rPr>
                <w:rStyle w:val="Hipercze"/>
                <w:rFonts w:cstheme="minorHAnsi"/>
                <w:noProof/>
              </w:rPr>
              <w:t>4.3.1 Usługi zewnętrzne (doradztwo)</w:t>
            </w:r>
            <w:r>
              <w:rPr>
                <w:noProof/>
                <w:webHidden/>
              </w:rPr>
              <w:tab/>
            </w:r>
            <w:r>
              <w:rPr>
                <w:noProof/>
                <w:webHidden/>
              </w:rPr>
              <w:fldChar w:fldCharType="begin"/>
            </w:r>
            <w:r>
              <w:rPr>
                <w:noProof/>
                <w:webHidden/>
              </w:rPr>
              <w:instrText xml:space="preserve"> PAGEREF _Toc202174382 \h </w:instrText>
            </w:r>
            <w:r>
              <w:rPr>
                <w:noProof/>
                <w:webHidden/>
              </w:rPr>
            </w:r>
            <w:r>
              <w:rPr>
                <w:noProof/>
                <w:webHidden/>
              </w:rPr>
              <w:fldChar w:fldCharType="separate"/>
            </w:r>
            <w:r>
              <w:rPr>
                <w:noProof/>
                <w:webHidden/>
              </w:rPr>
              <w:t>12</w:t>
            </w:r>
            <w:r>
              <w:rPr>
                <w:noProof/>
                <w:webHidden/>
              </w:rPr>
              <w:fldChar w:fldCharType="end"/>
            </w:r>
          </w:hyperlink>
        </w:p>
        <w:p w14:paraId="60082616" w14:textId="7B475D33" w:rsidR="005962A6" w:rsidRDefault="005962A6">
          <w:pPr>
            <w:pStyle w:val="Spistreci2"/>
            <w:rPr>
              <w:rFonts w:eastAsiaTheme="minorEastAsia"/>
              <w:noProof/>
              <w:kern w:val="2"/>
              <w:sz w:val="24"/>
              <w:szCs w:val="24"/>
              <w:lang w:eastAsia="pl-PL"/>
              <w14:ligatures w14:val="standardContextual"/>
            </w:rPr>
          </w:pPr>
          <w:hyperlink w:anchor="_Toc202174392" w:history="1">
            <w:r w:rsidRPr="00C31760">
              <w:rPr>
                <w:rStyle w:val="Hipercze"/>
                <w:rFonts w:cstheme="minorHAnsi"/>
                <w:b/>
                <w:noProof/>
              </w:rPr>
              <w:t>5.</w:t>
            </w:r>
            <w:r>
              <w:rPr>
                <w:rFonts w:eastAsiaTheme="minorEastAsia"/>
                <w:noProof/>
                <w:kern w:val="2"/>
                <w:sz w:val="24"/>
                <w:szCs w:val="24"/>
                <w:lang w:eastAsia="pl-PL"/>
                <w14:ligatures w14:val="standardContextual"/>
              </w:rPr>
              <w:tab/>
            </w:r>
            <w:r w:rsidRPr="00C31760">
              <w:rPr>
                <w:rStyle w:val="Hipercze"/>
                <w:rFonts w:cstheme="minorHAnsi"/>
                <w:b/>
                <w:noProof/>
              </w:rPr>
              <w:t>Wydatki kwalifikowalne na wspieranie innowacyjności</w:t>
            </w:r>
            <w:r>
              <w:rPr>
                <w:noProof/>
                <w:webHidden/>
              </w:rPr>
              <w:tab/>
            </w:r>
            <w:r>
              <w:rPr>
                <w:noProof/>
                <w:webHidden/>
              </w:rPr>
              <w:fldChar w:fldCharType="begin"/>
            </w:r>
            <w:r>
              <w:rPr>
                <w:noProof/>
                <w:webHidden/>
              </w:rPr>
              <w:instrText xml:space="preserve"> PAGEREF _Toc202174392 \h </w:instrText>
            </w:r>
            <w:r>
              <w:rPr>
                <w:noProof/>
                <w:webHidden/>
              </w:rPr>
            </w:r>
            <w:r>
              <w:rPr>
                <w:noProof/>
                <w:webHidden/>
              </w:rPr>
              <w:fldChar w:fldCharType="separate"/>
            </w:r>
            <w:r>
              <w:rPr>
                <w:noProof/>
                <w:webHidden/>
              </w:rPr>
              <w:t>13</w:t>
            </w:r>
            <w:r>
              <w:rPr>
                <w:noProof/>
                <w:webHidden/>
              </w:rPr>
              <w:fldChar w:fldCharType="end"/>
            </w:r>
          </w:hyperlink>
        </w:p>
        <w:p w14:paraId="33AA1015" w14:textId="60388AAD" w:rsidR="005962A6" w:rsidRDefault="005962A6">
          <w:pPr>
            <w:pStyle w:val="Spistreci3"/>
            <w:rPr>
              <w:rFonts w:eastAsiaTheme="minorEastAsia" w:cstheme="minorBidi"/>
              <w:bCs w:val="0"/>
              <w:kern w:val="2"/>
              <w:lang w:eastAsia="pl-PL"/>
              <w14:ligatures w14:val="standardContextual"/>
            </w:rPr>
          </w:pPr>
          <w:hyperlink w:anchor="_Toc202174393" w:history="1">
            <w:r w:rsidRPr="00C31760">
              <w:rPr>
                <w:rStyle w:val="Hipercze"/>
              </w:rPr>
              <w:t>5.1</w:t>
            </w:r>
            <w:r>
              <w:rPr>
                <w:rFonts w:eastAsiaTheme="minorEastAsia" w:cstheme="minorBidi"/>
                <w:bCs w:val="0"/>
                <w:kern w:val="2"/>
                <w:lang w:eastAsia="pl-PL"/>
                <w14:ligatures w14:val="standardContextual"/>
              </w:rPr>
              <w:tab/>
            </w:r>
            <w:r w:rsidRPr="00C31760">
              <w:rPr>
                <w:rStyle w:val="Hipercze"/>
              </w:rPr>
              <w:t>Pomoc publiczna</w:t>
            </w:r>
            <w:r>
              <w:rPr>
                <w:webHidden/>
              </w:rPr>
              <w:tab/>
            </w:r>
            <w:r>
              <w:rPr>
                <w:webHidden/>
              </w:rPr>
              <w:fldChar w:fldCharType="begin"/>
            </w:r>
            <w:r>
              <w:rPr>
                <w:webHidden/>
              </w:rPr>
              <w:instrText xml:space="preserve"> PAGEREF _Toc202174393 \h </w:instrText>
            </w:r>
            <w:r>
              <w:rPr>
                <w:webHidden/>
              </w:rPr>
            </w:r>
            <w:r>
              <w:rPr>
                <w:webHidden/>
              </w:rPr>
              <w:fldChar w:fldCharType="separate"/>
            </w:r>
            <w:r>
              <w:rPr>
                <w:webHidden/>
              </w:rPr>
              <w:t>13</w:t>
            </w:r>
            <w:r>
              <w:rPr>
                <w:webHidden/>
              </w:rPr>
              <w:fldChar w:fldCharType="end"/>
            </w:r>
          </w:hyperlink>
        </w:p>
        <w:p w14:paraId="1E37B34C" w14:textId="7BA7E56E" w:rsidR="005962A6" w:rsidRDefault="005962A6">
          <w:pPr>
            <w:pStyle w:val="Spistreci3"/>
            <w:rPr>
              <w:rFonts w:eastAsiaTheme="minorEastAsia" w:cstheme="minorBidi"/>
              <w:bCs w:val="0"/>
              <w:kern w:val="2"/>
              <w:lang w:eastAsia="pl-PL"/>
              <w14:ligatures w14:val="standardContextual"/>
            </w:rPr>
          </w:pPr>
          <w:hyperlink w:anchor="_Toc202174395" w:history="1">
            <w:r w:rsidRPr="00C31760">
              <w:rPr>
                <w:rStyle w:val="Hipercze"/>
              </w:rPr>
              <w:t>5.2</w:t>
            </w:r>
            <w:r>
              <w:rPr>
                <w:rFonts w:eastAsiaTheme="minorEastAsia" w:cstheme="minorBidi"/>
                <w:bCs w:val="0"/>
                <w:kern w:val="2"/>
                <w:lang w:eastAsia="pl-PL"/>
                <w14:ligatures w14:val="standardContextual"/>
              </w:rPr>
              <w:tab/>
            </w:r>
            <w:r w:rsidRPr="00C31760">
              <w:rPr>
                <w:rStyle w:val="Hipercze"/>
              </w:rPr>
              <w:t>Limity wydatków kwalifikowalnych oraz limity dofinansowania</w:t>
            </w:r>
            <w:r>
              <w:rPr>
                <w:webHidden/>
              </w:rPr>
              <w:tab/>
            </w:r>
            <w:r>
              <w:rPr>
                <w:webHidden/>
              </w:rPr>
              <w:fldChar w:fldCharType="begin"/>
            </w:r>
            <w:r>
              <w:rPr>
                <w:webHidden/>
              </w:rPr>
              <w:instrText xml:space="preserve"> PAGEREF _Toc202174395 \h </w:instrText>
            </w:r>
            <w:r>
              <w:rPr>
                <w:webHidden/>
              </w:rPr>
            </w:r>
            <w:r>
              <w:rPr>
                <w:webHidden/>
              </w:rPr>
              <w:fldChar w:fldCharType="separate"/>
            </w:r>
            <w:r>
              <w:rPr>
                <w:webHidden/>
              </w:rPr>
              <w:t>13</w:t>
            </w:r>
            <w:r>
              <w:rPr>
                <w:webHidden/>
              </w:rPr>
              <w:fldChar w:fldCharType="end"/>
            </w:r>
          </w:hyperlink>
        </w:p>
        <w:p w14:paraId="59E630E4" w14:textId="3C6DE67C" w:rsidR="005962A6" w:rsidRDefault="005962A6">
          <w:pPr>
            <w:pStyle w:val="Spistreci3"/>
            <w:rPr>
              <w:rFonts w:eastAsiaTheme="minorEastAsia" w:cstheme="minorBidi"/>
              <w:bCs w:val="0"/>
              <w:kern w:val="2"/>
              <w:lang w:eastAsia="pl-PL"/>
              <w14:ligatures w14:val="standardContextual"/>
            </w:rPr>
          </w:pPr>
          <w:hyperlink w:anchor="_Toc202174397" w:history="1">
            <w:r w:rsidRPr="00C31760">
              <w:rPr>
                <w:rStyle w:val="Hipercze"/>
              </w:rPr>
              <w:t>5.3 Kategorie wydatków kwalifikowalnych</w:t>
            </w:r>
            <w:r>
              <w:rPr>
                <w:webHidden/>
              </w:rPr>
              <w:tab/>
            </w:r>
            <w:r>
              <w:rPr>
                <w:webHidden/>
              </w:rPr>
              <w:fldChar w:fldCharType="begin"/>
            </w:r>
            <w:r>
              <w:rPr>
                <w:webHidden/>
              </w:rPr>
              <w:instrText xml:space="preserve"> PAGEREF _Toc202174397 \h </w:instrText>
            </w:r>
            <w:r>
              <w:rPr>
                <w:webHidden/>
              </w:rPr>
            </w:r>
            <w:r>
              <w:rPr>
                <w:webHidden/>
              </w:rPr>
              <w:fldChar w:fldCharType="separate"/>
            </w:r>
            <w:r>
              <w:rPr>
                <w:webHidden/>
              </w:rPr>
              <w:t>13</w:t>
            </w:r>
            <w:r>
              <w:rPr>
                <w:webHidden/>
              </w:rPr>
              <w:fldChar w:fldCharType="end"/>
            </w:r>
          </w:hyperlink>
        </w:p>
        <w:p w14:paraId="6EEE8333" w14:textId="50A34F83" w:rsidR="005962A6" w:rsidRDefault="005962A6">
          <w:pPr>
            <w:pStyle w:val="Spistreci4"/>
            <w:tabs>
              <w:tab w:val="right" w:leader="dot" w:pos="9062"/>
            </w:tabs>
            <w:rPr>
              <w:noProof/>
              <w:kern w:val="2"/>
              <w:sz w:val="24"/>
              <w:szCs w:val="24"/>
              <w14:ligatures w14:val="standardContextual"/>
            </w:rPr>
          </w:pPr>
          <w:hyperlink w:anchor="_Toc202174398" w:history="1">
            <w:r w:rsidRPr="00C31760">
              <w:rPr>
                <w:rStyle w:val="Hipercze"/>
                <w:rFonts w:cstheme="minorHAnsi"/>
                <w:noProof/>
              </w:rPr>
              <w:t>5.3.1 Usługi zewnętrzne (wsparcie innowacji)</w:t>
            </w:r>
            <w:r>
              <w:rPr>
                <w:noProof/>
                <w:webHidden/>
              </w:rPr>
              <w:tab/>
            </w:r>
            <w:r>
              <w:rPr>
                <w:noProof/>
                <w:webHidden/>
              </w:rPr>
              <w:fldChar w:fldCharType="begin"/>
            </w:r>
            <w:r>
              <w:rPr>
                <w:noProof/>
                <w:webHidden/>
              </w:rPr>
              <w:instrText xml:space="preserve"> PAGEREF _Toc202174398 \h </w:instrText>
            </w:r>
            <w:r>
              <w:rPr>
                <w:noProof/>
                <w:webHidden/>
              </w:rPr>
            </w:r>
            <w:r>
              <w:rPr>
                <w:noProof/>
                <w:webHidden/>
              </w:rPr>
              <w:fldChar w:fldCharType="separate"/>
            </w:r>
            <w:r>
              <w:rPr>
                <w:noProof/>
                <w:webHidden/>
              </w:rPr>
              <w:t>13</w:t>
            </w:r>
            <w:r>
              <w:rPr>
                <w:noProof/>
                <w:webHidden/>
              </w:rPr>
              <w:fldChar w:fldCharType="end"/>
            </w:r>
          </w:hyperlink>
        </w:p>
        <w:p w14:paraId="4F2C3CB4" w14:textId="1DB4A13C" w:rsidR="005962A6" w:rsidRDefault="005962A6">
          <w:pPr>
            <w:pStyle w:val="Spistreci2"/>
            <w:rPr>
              <w:rFonts w:eastAsiaTheme="minorEastAsia"/>
              <w:noProof/>
              <w:kern w:val="2"/>
              <w:sz w:val="24"/>
              <w:szCs w:val="24"/>
              <w:lang w:eastAsia="pl-PL"/>
              <w14:ligatures w14:val="standardContextual"/>
            </w:rPr>
          </w:pPr>
          <w:hyperlink w:anchor="_Toc202174403" w:history="1">
            <w:r w:rsidRPr="00C31760">
              <w:rPr>
                <w:rStyle w:val="Hipercze"/>
                <w:rFonts w:cstheme="minorHAnsi"/>
                <w:b/>
                <w:noProof/>
              </w:rPr>
              <w:t>6</w:t>
            </w:r>
            <w:r>
              <w:rPr>
                <w:rFonts w:eastAsiaTheme="minorEastAsia"/>
                <w:noProof/>
                <w:kern w:val="2"/>
                <w:sz w:val="24"/>
                <w:szCs w:val="24"/>
                <w:lang w:eastAsia="pl-PL"/>
                <w14:ligatures w14:val="standardContextual"/>
              </w:rPr>
              <w:tab/>
            </w:r>
            <w:r w:rsidRPr="00C31760">
              <w:rPr>
                <w:rStyle w:val="Hipercze"/>
                <w:rFonts w:cstheme="minorHAnsi"/>
                <w:b/>
                <w:noProof/>
              </w:rPr>
              <w:t>Wydatki kwalifikowalne na szkolenia</w:t>
            </w:r>
            <w:r>
              <w:rPr>
                <w:noProof/>
                <w:webHidden/>
              </w:rPr>
              <w:tab/>
            </w:r>
            <w:r>
              <w:rPr>
                <w:noProof/>
                <w:webHidden/>
              </w:rPr>
              <w:fldChar w:fldCharType="begin"/>
            </w:r>
            <w:r>
              <w:rPr>
                <w:noProof/>
                <w:webHidden/>
              </w:rPr>
              <w:instrText xml:space="preserve"> PAGEREF _Toc202174403 \h </w:instrText>
            </w:r>
            <w:r>
              <w:rPr>
                <w:noProof/>
                <w:webHidden/>
              </w:rPr>
            </w:r>
            <w:r>
              <w:rPr>
                <w:noProof/>
                <w:webHidden/>
              </w:rPr>
              <w:fldChar w:fldCharType="separate"/>
            </w:r>
            <w:r>
              <w:rPr>
                <w:noProof/>
                <w:webHidden/>
              </w:rPr>
              <w:t>13</w:t>
            </w:r>
            <w:r>
              <w:rPr>
                <w:noProof/>
                <w:webHidden/>
              </w:rPr>
              <w:fldChar w:fldCharType="end"/>
            </w:r>
          </w:hyperlink>
        </w:p>
        <w:p w14:paraId="6F21A4EC" w14:textId="794F69AE" w:rsidR="005962A6" w:rsidRDefault="005962A6">
          <w:pPr>
            <w:pStyle w:val="Spistreci3"/>
            <w:rPr>
              <w:rFonts w:eastAsiaTheme="minorEastAsia" w:cstheme="minorBidi"/>
              <w:bCs w:val="0"/>
              <w:kern w:val="2"/>
              <w:lang w:eastAsia="pl-PL"/>
              <w14:ligatures w14:val="standardContextual"/>
            </w:rPr>
          </w:pPr>
          <w:hyperlink w:anchor="_Toc202174404" w:history="1">
            <w:r w:rsidRPr="00C31760">
              <w:rPr>
                <w:rStyle w:val="Hipercze"/>
              </w:rPr>
              <w:t>6.1 Pomoc publiczna</w:t>
            </w:r>
            <w:r>
              <w:rPr>
                <w:webHidden/>
              </w:rPr>
              <w:tab/>
            </w:r>
            <w:r>
              <w:rPr>
                <w:webHidden/>
              </w:rPr>
              <w:fldChar w:fldCharType="begin"/>
            </w:r>
            <w:r>
              <w:rPr>
                <w:webHidden/>
              </w:rPr>
              <w:instrText xml:space="preserve"> PAGEREF _Toc202174404 \h </w:instrText>
            </w:r>
            <w:r>
              <w:rPr>
                <w:webHidden/>
              </w:rPr>
            </w:r>
            <w:r>
              <w:rPr>
                <w:webHidden/>
              </w:rPr>
              <w:fldChar w:fldCharType="separate"/>
            </w:r>
            <w:r>
              <w:rPr>
                <w:webHidden/>
              </w:rPr>
              <w:t>13</w:t>
            </w:r>
            <w:r>
              <w:rPr>
                <w:webHidden/>
              </w:rPr>
              <w:fldChar w:fldCharType="end"/>
            </w:r>
          </w:hyperlink>
        </w:p>
        <w:p w14:paraId="78C0E246" w14:textId="7D3B3E06" w:rsidR="005962A6" w:rsidRDefault="005962A6">
          <w:pPr>
            <w:pStyle w:val="Spistreci3"/>
            <w:rPr>
              <w:rFonts w:eastAsiaTheme="minorEastAsia" w:cstheme="minorBidi"/>
              <w:bCs w:val="0"/>
              <w:kern w:val="2"/>
              <w:lang w:eastAsia="pl-PL"/>
              <w14:ligatures w14:val="standardContextual"/>
            </w:rPr>
          </w:pPr>
          <w:hyperlink w:anchor="_Toc202174405" w:history="1">
            <w:r w:rsidRPr="00C31760">
              <w:rPr>
                <w:rStyle w:val="Hipercze"/>
              </w:rPr>
              <w:t>6.2 Limity wydatków kwalifikowalnych oraz limity dofinansowania</w:t>
            </w:r>
            <w:r>
              <w:rPr>
                <w:webHidden/>
              </w:rPr>
              <w:tab/>
            </w:r>
            <w:r>
              <w:rPr>
                <w:webHidden/>
              </w:rPr>
              <w:fldChar w:fldCharType="begin"/>
            </w:r>
            <w:r>
              <w:rPr>
                <w:webHidden/>
              </w:rPr>
              <w:instrText xml:space="preserve"> PAGEREF _Toc202174405 \h </w:instrText>
            </w:r>
            <w:r>
              <w:rPr>
                <w:webHidden/>
              </w:rPr>
            </w:r>
            <w:r>
              <w:rPr>
                <w:webHidden/>
              </w:rPr>
              <w:fldChar w:fldCharType="separate"/>
            </w:r>
            <w:r>
              <w:rPr>
                <w:webHidden/>
              </w:rPr>
              <w:t>13</w:t>
            </w:r>
            <w:r>
              <w:rPr>
                <w:webHidden/>
              </w:rPr>
              <w:fldChar w:fldCharType="end"/>
            </w:r>
          </w:hyperlink>
        </w:p>
        <w:p w14:paraId="1AB5910A" w14:textId="53A0E5CF" w:rsidR="005962A6" w:rsidRDefault="005962A6">
          <w:pPr>
            <w:pStyle w:val="Spistreci3"/>
            <w:rPr>
              <w:rFonts w:eastAsiaTheme="minorEastAsia" w:cstheme="minorBidi"/>
              <w:bCs w:val="0"/>
              <w:kern w:val="2"/>
              <w:lang w:eastAsia="pl-PL"/>
              <w14:ligatures w14:val="standardContextual"/>
            </w:rPr>
          </w:pPr>
          <w:hyperlink w:anchor="_Toc202174409" w:history="1">
            <w:r w:rsidRPr="00C31760">
              <w:rPr>
                <w:rStyle w:val="Hipercze"/>
              </w:rPr>
              <w:t>6.3</w:t>
            </w:r>
            <w:r>
              <w:rPr>
                <w:rFonts w:eastAsiaTheme="minorEastAsia" w:cstheme="minorBidi"/>
                <w:bCs w:val="0"/>
                <w:kern w:val="2"/>
                <w:lang w:eastAsia="pl-PL"/>
                <w14:ligatures w14:val="standardContextual"/>
              </w:rPr>
              <w:tab/>
            </w:r>
            <w:r w:rsidRPr="00C31760">
              <w:rPr>
                <w:rStyle w:val="Hipercze"/>
              </w:rPr>
              <w:t>Kategorie wydatków kwalifikowalnych</w:t>
            </w:r>
            <w:r>
              <w:rPr>
                <w:webHidden/>
              </w:rPr>
              <w:tab/>
            </w:r>
            <w:r>
              <w:rPr>
                <w:webHidden/>
              </w:rPr>
              <w:fldChar w:fldCharType="begin"/>
            </w:r>
            <w:r>
              <w:rPr>
                <w:webHidden/>
              </w:rPr>
              <w:instrText xml:space="preserve"> PAGEREF _Toc202174409 \h </w:instrText>
            </w:r>
            <w:r>
              <w:rPr>
                <w:webHidden/>
              </w:rPr>
            </w:r>
            <w:r>
              <w:rPr>
                <w:webHidden/>
              </w:rPr>
              <w:fldChar w:fldCharType="separate"/>
            </w:r>
            <w:r>
              <w:rPr>
                <w:webHidden/>
              </w:rPr>
              <w:t>14</w:t>
            </w:r>
            <w:r>
              <w:rPr>
                <w:webHidden/>
              </w:rPr>
              <w:fldChar w:fldCharType="end"/>
            </w:r>
          </w:hyperlink>
        </w:p>
        <w:p w14:paraId="4289FEFB" w14:textId="4E0C584F" w:rsidR="005962A6" w:rsidRDefault="005962A6">
          <w:pPr>
            <w:pStyle w:val="Spistreci4"/>
            <w:tabs>
              <w:tab w:val="right" w:leader="dot" w:pos="9062"/>
            </w:tabs>
            <w:rPr>
              <w:noProof/>
              <w:kern w:val="2"/>
              <w:sz w:val="24"/>
              <w:szCs w:val="24"/>
              <w14:ligatures w14:val="standardContextual"/>
            </w:rPr>
          </w:pPr>
          <w:hyperlink w:anchor="_Toc202174410" w:history="1">
            <w:r w:rsidRPr="00C31760">
              <w:rPr>
                <w:rStyle w:val="Hipercze"/>
                <w:rFonts w:cstheme="minorHAnsi"/>
                <w:noProof/>
              </w:rPr>
              <w:t>6.3.1 Koszty wsparcia uczestników projektu (Koszty szkoleniowe rzeczywiste)</w:t>
            </w:r>
            <w:r>
              <w:rPr>
                <w:noProof/>
                <w:webHidden/>
              </w:rPr>
              <w:tab/>
            </w:r>
            <w:r>
              <w:rPr>
                <w:noProof/>
                <w:webHidden/>
              </w:rPr>
              <w:fldChar w:fldCharType="begin"/>
            </w:r>
            <w:r>
              <w:rPr>
                <w:noProof/>
                <w:webHidden/>
              </w:rPr>
              <w:instrText xml:space="preserve"> PAGEREF _Toc202174410 \h </w:instrText>
            </w:r>
            <w:r>
              <w:rPr>
                <w:noProof/>
                <w:webHidden/>
              </w:rPr>
            </w:r>
            <w:r>
              <w:rPr>
                <w:noProof/>
                <w:webHidden/>
              </w:rPr>
              <w:fldChar w:fldCharType="separate"/>
            </w:r>
            <w:r>
              <w:rPr>
                <w:noProof/>
                <w:webHidden/>
              </w:rPr>
              <w:t>14</w:t>
            </w:r>
            <w:r>
              <w:rPr>
                <w:noProof/>
                <w:webHidden/>
              </w:rPr>
              <w:fldChar w:fldCharType="end"/>
            </w:r>
          </w:hyperlink>
        </w:p>
        <w:p w14:paraId="4307AE90" w14:textId="2983AC13" w:rsidR="005962A6" w:rsidRDefault="005962A6">
          <w:pPr>
            <w:pStyle w:val="Spistreci2"/>
            <w:rPr>
              <w:rFonts w:eastAsiaTheme="minorEastAsia"/>
              <w:noProof/>
              <w:kern w:val="2"/>
              <w:sz w:val="24"/>
              <w:szCs w:val="24"/>
              <w:lang w:eastAsia="pl-PL"/>
              <w14:ligatures w14:val="standardContextual"/>
            </w:rPr>
          </w:pPr>
          <w:hyperlink w:anchor="_Toc202174411" w:history="1">
            <w:r w:rsidRPr="00C31760">
              <w:rPr>
                <w:rStyle w:val="Hipercze"/>
                <w:rFonts w:cstheme="minorHAnsi"/>
                <w:b/>
                <w:noProof/>
              </w:rPr>
              <w:t>7</w:t>
            </w:r>
            <w:r>
              <w:rPr>
                <w:rFonts w:eastAsiaTheme="minorEastAsia"/>
                <w:noProof/>
                <w:kern w:val="2"/>
                <w:sz w:val="24"/>
                <w:szCs w:val="24"/>
                <w:lang w:eastAsia="pl-PL"/>
                <w14:ligatures w14:val="standardContextual"/>
              </w:rPr>
              <w:tab/>
            </w:r>
            <w:r w:rsidRPr="00C31760">
              <w:rPr>
                <w:rStyle w:val="Hipercze"/>
                <w:rFonts w:cstheme="minorHAnsi"/>
                <w:b/>
                <w:noProof/>
              </w:rPr>
              <w:t>Pomoc inwestycyjna na ochronę środowiska</w:t>
            </w:r>
            <w:r>
              <w:rPr>
                <w:noProof/>
                <w:webHidden/>
              </w:rPr>
              <w:tab/>
            </w:r>
            <w:r>
              <w:rPr>
                <w:noProof/>
                <w:webHidden/>
              </w:rPr>
              <w:fldChar w:fldCharType="begin"/>
            </w:r>
            <w:r>
              <w:rPr>
                <w:noProof/>
                <w:webHidden/>
              </w:rPr>
              <w:instrText xml:space="preserve"> PAGEREF _Toc202174411 \h </w:instrText>
            </w:r>
            <w:r>
              <w:rPr>
                <w:noProof/>
                <w:webHidden/>
              </w:rPr>
            </w:r>
            <w:r>
              <w:rPr>
                <w:noProof/>
                <w:webHidden/>
              </w:rPr>
              <w:fldChar w:fldCharType="separate"/>
            </w:r>
            <w:r>
              <w:rPr>
                <w:noProof/>
                <w:webHidden/>
              </w:rPr>
              <w:t>16</w:t>
            </w:r>
            <w:r>
              <w:rPr>
                <w:noProof/>
                <w:webHidden/>
              </w:rPr>
              <w:fldChar w:fldCharType="end"/>
            </w:r>
          </w:hyperlink>
        </w:p>
        <w:p w14:paraId="18C099D0" w14:textId="63F7FF9A" w:rsidR="005962A6" w:rsidRDefault="005962A6">
          <w:pPr>
            <w:pStyle w:val="Spistreci3"/>
            <w:rPr>
              <w:rFonts w:eastAsiaTheme="minorEastAsia" w:cstheme="minorBidi"/>
              <w:bCs w:val="0"/>
              <w:kern w:val="2"/>
              <w:lang w:eastAsia="pl-PL"/>
              <w14:ligatures w14:val="standardContextual"/>
            </w:rPr>
          </w:pPr>
          <w:hyperlink w:anchor="_Toc202174412" w:history="1">
            <w:r w:rsidRPr="00C31760">
              <w:rPr>
                <w:rStyle w:val="Hipercze"/>
              </w:rPr>
              <w:t>7.1</w:t>
            </w:r>
            <w:r>
              <w:rPr>
                <w:rFonts w:eastAsiaTheme="minorEastAsia" w:cstheme="minorBidi"/>
                <w:bCs w:val="0"/>
                <w:kern w:val="2"/>
                <w:lang w:eastAsia="pl-PL"/>
                <w14:ligatures w14:val="standardContextual"/>
              </w:rPr>
              <w:tab/>
            </w:r>
            <w:r w:rsidRPr="00C31760">
              <w:rPr>
                <w:rStyle w:val="Hipercze"/>
              </w:rPr>
              <w:t>Pomoc publiczna</w:t>
            </w:r>
            <w:r>
              <w:rPr>
                <w:webHidden/>
              </w:rPr>
              <w:tab/>
            </w:r>
            <w:r>
              <w:rPr>
                <w:webHidden/>
              </w:rPr>
              <w:fldChar w:fldCharType="begin"/>
            </w:r>
            <w:r>
              <w:rPr>
                <w:webHidden/>
              </w:rPr>
              <w:instrText xml:space="preserve"> PAGEREF _Toc202174412 \h </w:instrText>
            </w:r>
            <w:r>
              <w:rPr>
                <w:webHidden/>
              </w:rPr>
            </w:r>
            <w:r>
              <w:rPr>
                <w:webHidden/>
              </w:rPr>
              <w:fldChar w:fldCharType="separate"/>
            </w:r>
            <w:r>
              <w:rPr>
                <w:webHidden/>
              </w:rPr>
              <w:t>16</w:t>
            </w:r>
            <w:r>
              <w:rPr>
                <w:webHidden/>
              </w:rPr>
              <w:fldChar w:fldCharType="end"/>
            </w:r>
          </w:hyperlink>
        </w:p>
        <w:p w14:paraId="2FD98FB0" w14:textId="262EB4DA" w:rsidR="005962A6" w:rsidRDefault="005962A6">
          <w:pPr>
            <w:pStyle w:val="Spistreci3"/>
            <w:rPr>
              <w:rFonts w:eastAsiaTheme="minorEastAsia" w:cstheme="minorBidi"/>
              <w:bCs w:val="0"/>
              <w:kern w:val="2"/>
              <w:lang w:eastAsia="pl-PL"/>
              <w14:ligatures w14:val="standardContextual"/>
            </w:rPr>
          </w:pPr>
          <w:hyperlink w:anchor="_Toc202174413" w:history="1">
            <w:r w:rsidRPr="00C31760">
              <w:rPr>
                <w:rStyle w:val="Hipercze"/>
              </w:rPr>
              <w:t>7.2 Limity wydatków kwalifikowalnych w projekcie oraz limity dofinansowania</w:t>
            </w:r>
            <w:r>
              <w:rPr>
                <w:webHidden/>
              </w:rPr>
              <w:tab/>
            </w:r>
            <w:r>
              <w:rPr>
                <w:webHidden/>
              </w:rPr>
              <w:fldChar w:fldCharType="begin"/>
            </w:r>
            <w:r>
              <w:rPr>
                <w:webHidden/>
              </w:rPr>
              <w:instrText xml:space="preserve"> PAGEREF _Toc202174413 \h </w:instrText>
            </w:r>
            <w:r>
              <w:rPr>
                <w:webHidden/>
              </w:rPr>
            </w:r>
            <w:r>
              <w:rPr>
                <w:webHidden/>
              </w:rPr>
              <w:fldChar w:fldCharType="separate"/>
            </w:r>
            <w:r>
              <w:rPr>
                <w:webHidden/>
              </w:rPr>
              <w:t>16</w:t>
            </w:r>
            <w:r>
              <w:rPr>
                <w:webHidden/>
              </w:rPr>
              <w:fldChar w:fldCharType="end"/>
            </w:r>
          </w:hyperlink>
        </w:p>
        <w:p w14:paraId="486A2595" w14:textId="7B6F4C43" w:rsidR="005962A6" w:rsidRDefault="005962A6">
          <w:pPr>
            <w:pStyle w:val="Spistreci3"/>
            <w:rPr>
              <w:rFonts w:eastAsiaTheme="minorEastAsia" w:cstheme="minorBidi"/>
              <w:bCs w:val="0"/>
              <w:kern w:val="2"/>
              <w:lang w:eastAsia="pl-PL"/>
              <w14:ligatures w14:val="standardContextual"/>
            </w:rPr>
          </w:pPr>
          <w:hyperlink w:anchor="_Toc202174414" w:history="1">
            <w:r w:rsidRPr="00C31760">
              <w:rPr>
                <w:rStyle w:val="Hipercze"/>
              </w:rPr>
              <w:t>7.3 Kategorie wydatków kwalifikowalnych na ochronę środowiska</w:t>
            </w:r>
            <w:r>
              <w:rPr>
                <w:webHidden/>
              </w:rPr>
              <w:tab/>
            </w:r>
            <w:r>
              <w:rPr>
                <w:webHidden/>
              </w:rPr>
              <w:fldChar w:fldCharType="begin"/>
            </w:r>
            <w:r>
              <w:rPr>
                <w:webHidden/>
              </w:rPr>
              <w:instrText xml:space="preserve"> PAGEREF _Toc202174414 \h </w:instrText>
            </w:r>
            <w:r>
              <w:rPr>
                <w:webHidden/>
              </w:rPr>
            </w:r>
            <w:r>
              <w:rPr>
                <w:webHidden/>
              </w:rPr>
              <w:fldChar w:fldCharType="separate"/>
            </w:r>
            <w:r>
              <w:rPr>
                <w:webHidden/>
              </w:rPr>
              <w:t>18</w:t>
            </w:r>
            <w:r>
              <w:rPr>
                <w:webHidden/>
              </w:rPr>
              <w:fldChar w:fldCharType="end"/>
            </w:r>
          </w:hyperlink>
        </w:p>
        <w:p w14:paraId="2B30AC62" w14:textId="24AF3486" w:rsidR="005962A6" w:rsidRDefault="005962A6">
          <w:pPr>
            <w:pStyle w:val="Spistreci4"/>
            <w:tabs>
              <w:tab w:val="right" w:leader="dot" w:pos="9062"/>
            </w:tabs>
            <w:rPr>
              <w:noProof/>
              <w:kern w:val="2"/>
              <w:sz w:val="24"/>
              <w:szCs w:val="24"/>
              <w14:ligatures w14:val="standardContextual"/>
            </w:rPr>
          </w:pPr>
          <w:hyperlink w:anchor="_Toc202174415" w:history="1">
            <w:r w:rsidRPr="00C31760">
              <w:rPr>
                <w:rStyle w:val="Hipercze"/>
                <w:rFonts w:cstheme="minorHAnsi"/>
                <w:noProof/>
              </w:rPr>
              <w:t>7.3.1 Ochrona środowiska, w tym obniżenie emisyjności</w:t>
            </w:r>
            <w:r>
              <w:rPr>
                <w:noProof/>
                <w:webHidden/>
              </w:rPr>
              <w:tab/>
            </w:r>
            <w:r>
              <w:rPr>
                <w:noProof/>
                <w:webHidden/>
              </w:rPr>
              <w:fldChar w:fldCharType="begin"/>
            </w:r>
            <w:r>
              <w:rPr>
                <w:noProof/>
                <w:webHidden/>
              </w:rPr>
              <w:instrText xml:space="preserve"> PAGEREF _Toc202174415 \h </w:instrText>
            </w:r>
            <w:r>
              <w:rPr>
                <w:noProof/>
                <w:webHidden/>
              </w:rPr>
            </w:r>
            <w:r>
              <w:rPr>
                <w:noProof/>
                <w:webHidden/>
              </w:rPr>
              <w:fldChar w:fldCharType="separate"/>
            </w:r>
            <w:r>
              <w:rPr>
                <w:noProof/>
                <w:webHidden/>
              </w:rPr>
              <w:t>18</w:t>
            </w:r>
            <w:r>
              <w:rPr>
                <w:noProof/>
                <w:webHidden/>
              </w:rPr>
              <w:fldChar w:fldCharType="end"/>
            </w:r>
          </w:hyperlink>
        </w:p>
        <w:p w14:paraId="0551EA9F" w14:textId="4734C57A" w:rsidR="005962A6" w:rsidRDefault="005962A6">
          <w:pPr>
            <w:pStyle w:val="Spistreci4"/>
            <w:tabs>
              <w:tab w:val="right" w:leader="dot" w:pos="9062"/>
            </w:tabs>
            <w:rPr>
              <w:noProof/>
              <w:kern w:val="2"/>
              <w:sz w:val="24"/>
              <w:szCs w:val="24"/>
              <w14:ligatures w14:val="standardContextual"/>
            </w:rPr>
          </w:pPr>
          <w:hyperlink w:anchor="_Toc202174416" w:history="1">
            <w:r w:rsidRPr="00C31760">
              <w:rPr>
                <w:rStyle w:val="Hipercze"/>
                <w:rFonts w:cstheme="minorHAnsi"/>
                <w:noProof/>
              </w:rPr>
              <w:t>1) Ochrona środowiska, w tym obniżenie emisyjności - dodatkowe komponenty w istniejącym zakładzie.</w:t>
            </w:r>
            <w:r>
              <w:rPr>
                <w:noProof/>
                <w:webHidden/>
              </w:rPr>
              <w:tab/>
            </w:r>
            <w:r>
              <w:rPr>
                <w:noProof/>
                <w:webHidden/>
              </w:rPr>
              <w:fldChar w:fldCharType="begin"/>
            </w:r>
            <w:r>
              <w:rPr>
                <w:noProof/>
                <w:webHidden/>
              </w:rPr>
              <w:instrText xml:space="preserve"> PAGEREF _Toc202174416 \h </w:instrText>
            </w:r>
            <w:r>
              <w:rPr>
                <w:noProof/>
                <w:webHidden/>
              </w:rPr>
            </w:r>
            <w:r>
              <w:rPr>
                <w:noProof/>
                <w:webHidden/>
              </w:rPr>
              <w:fldChar w:fldCharType="separate"/>
            </w:r>
            <w:r>
              <w:rPr>
                <w:noProof/>
                <w:webHidden/>
              </w:rPr>
              <w:t>18</w:t>
            </w:r>
            <w:r>
              <w:rPr>
                <w:noProof/>
                <w:webHidden/>
              </w:rPr>
              <w:fldChar w:fldCharType="end"/>
            </w:r>
          </w:hyperlink>
        </w:p>
        <w:p w14:paraId="32A28006" w14:textId="6FA3E2AA" w:rsidR="005962A6" w:rsidRDefault="005962A6">
          <w:pPr>
            <w:pStyle w:val="Spistreci4"/>
            <w:tabs>
              <w:tab w:val="right" w:leader="dot" w:pos="9062"/>
            </w:tabs>
            <w:rPr>
              <w:noProof/>
              <w:kern w:val="2"/>
              <w:sz w:val="24"/>
              <w:szCs w:val="24"/>
              <w14:ligatures w14:val="standardContextual"/>
            </w:rPr>
          </w:pPr>
          <w:hyperlink w:anchor="_Toc202174417" w:history="1">
            <w:r w:rsidRPr="00C31760">
              <w:rPr>
                <w:rStyle w:val="Hipercze"/>
                <w:rFonts w:cstheme="minorHAnsi"/>
                <w:noProof/>
              </w:rPr>
              <w:t>2) Ochrona środowiska, w tym obniżenie emisyjności - koszty budowy infrastruktury dedykowanej.</w:t>
            </w:r>
            <w:r>
              <w:rPr>
                <w:noProof/>
                <w:webHidden/>
              </w:rPr>
              <w:tab/>
            </w:r>
            <w:r>
              <w:rPr>
                <w:noProof/>
                <w:webHidden/>
              </w:rPr>
              <w:fldChar w:fldCharType="begin"/>
            </w:r>
            <w:r>
              <w:rPr>
                <w:noProof/>
                <w:webHidden/>
              </w:rPr>
              <w:instrText xml:space="preserve"> PAGEREF _Toc202174417 \h </w:instrText>
            </w:r>
            <w:r>
              <w:rPr>
                <w:noProof/>
                <w:webHidden/>
              </w:rPr>
            </w:r>
            <w:r>
              <w:rPr>
                <w:noProof/>
                <w:webHidden/>
              </w:rPr>
              <w:fldChar w:fldCharType="separate"/>
            </w:r>
            <w:r>
              <w:rPr>
                <w:noProof/>
                <w:webHidden/>
              </w:rPr>
              <w:t>18</w:t>
            </w:r>
            <w:r>
              <w:rPr>
                <w:noProof/>
                <w:webHidden/>
              </w:rPr>
              <w:fldChar w:fldCharType="end"/>
            </w:r>
          </w:hyperlink>
        </w:p>
        <w:p w14:paraId="1F162ABE" w14:textId="6F9CEDA6" w:rsidR="005962A6" w:rsidRDefault="005962A6">
          <w:pPr>
            <w:pStyle w:val="Spistreci4"/>
            <w:tabs>
              <w:tab w:val="right" w:leader="dot" w:pos="9062"/>
            </w:tabs>
            <w:rPr>
              <w:noProof/>
              <w:kern w:val="2"/>
              <w:sz w:val="24"/>
              <w:szCs w:val="24"/>
              <w14:ligatures w14:val="standardContextual"/>
            </w:rPr>
          </w:pPr>
          <w:hyperlink w:anchor="_Toc202174418" w:history="1">
            <w:r w:rsidRPr="00C31760">
              <w:rPr>
                <w:rStyle w:val="Hipercze"/>
                <w:rFonts w:cstheme="minorHAnsi"/>
                <w:noProof/>
              </w:rPr>
              <w:t>3) Ochrona środowiska, w tym obniżenie emisyjności - całkowite koszty inwestycji (obniżona intensywność pomocy)</w:t>
            </w:r>
            <w:r>
              <w:rPr>
                <w:noProof/>
                <w:webHidden/>
              </w:rPr>
              <w:tab/>
            </w:r>
            <w:r>
              <w:rPr>
                <w:noProof/>
                <w:webHidden/>
              </w:rPr>
              <w:fldChar w:fldCharType="begin"/>
            </w:r>
            <w:r>
              <w:rPr>
                <w:noProof/>
                <w:webHidden/>
              </w:rPr>
              <w:instrText xml:space="preserve"> PAGEREF _Toc202174418 \h </w:instrText>
            </w:r>
            <w:r>
              <w:rPr>
                <w:noProof/>
                <w:webHidden/>
              </w:rPr>
            </w:r>
            <w:r>
              <w:rPr>
                <w:noProof/>
                <w:webHidden/>
              </w:rPr>
              <w:fldChar w:fldCharType="separate"/>
            </w:r>
            <w:r>
              <w:rPr>
                <w:noProof/>
                <w:webHidden/>
              </w:rPr>
              <w:t>19</w:t>
            </w:r>
            <w:r>
              <w:rPr>
                <w:noProof/>
                <w:webHidden/>
              </w:rPr>
              <w:fldChar w:fldCharType="end"/>
            </w:r>
          </w:hyperlink>
        </w:p>
        <w:p w14:paraId="30727638" w14:textId="65B99456" w:rsidR="005962A6" w:rsidRDefault="005962A6">
          <w:pPr>
            <w:pStyle w:val="Spistreci4"/>
            <w:tabs>
              <w:tab w:val="right" w:leader="dot" w:pos="9062"/>
            </w:tabs>
            <w:rPr>
              <w:noProof/>
              <w:kern w:val="2"/>
              <w:sz w:val="24"/>
              <w:szCs w:val="24"/>
              <w14:ligatures w14:val="standardContextual"/>
            </w:rPr>
          </w:pPr>
          <w:hyperlink w:anchor="_Toc202174419" w:history="1">
            <w:r w:rsidRPr="00C31760">
              <w:rPr>
                <w:rStyle w:val="Hipercze"/>
                <w:rFonts w:cstheme="minorHAnsi"/>
                <w:noProof/>
              </w:rPr>
              <w:t>4) Ochrona środowiska, w tym wychwytywanie i transport CO2</w:t>
            </w:r>
            <w:r>
              <w:rPr>
                <w:noProof/>
                <w:webHidden/>
              </w:rPr>
              <w:tab/>
            </w:r>
            <w:r>
              <w:rPr>
                <w:noProof/>
                <w:webHidden/>
              </w:rPr>
              <w:fldChar w:fldCharType="begin"/>
            </w:r>
            <w:r>
              <w:rPr>
                <w:noProof/>
                <w:webHidden/>
              </w:rPr>
              <w:instrText xml:space="preserve"> PAGEREF _Toc202174419 \h </w:instrText>
            </w:r>
            <w:r>
              <w:rPr>
                <w:noProof/>
                <w:webHidden/>
              </w:rPr>
            </w:r>
            <w:r>
              <w:rPr>
                <w:noProof/>
                <w:webHidden/>
              </w:rPr>
              <w:fldChar w:fldCharType="separate"/>
            </w:r>
            <w:r>
              <w:rPr>
                <w:noProof/>
                <w:webHidden/>
              </w:rPr>
              <w:t>19</w:t>
            </w:r>
            <w:r>
              <w:rPr>
                <w:noProof/>
                <w:webHidden/>
              </w:rPr>
              <w:fldChar w:fldCharType="end"/>
            </w:r>
          </w:hyperlink>
        </w:p>
        <w:p w14:paraId="322E08DA" w14:textId="14E3781C" w:rsidR="005962A6" w:rsidRDefault="005962A6">
          <w:pPr>
            <w:pStyle w:val="Spistreci4"/>
            <w:tabs>
              <w:tab w:val="right" w:leader="dot" w:pos="9062"/>
            </w:tabs>
            <w:rPr>
              <w:noProof/>
              <w:kern w:val="2"/>
              <w:sz w:val="24"/>
              <w:szCs w:val="24"/>
              <w14:ligatures w14:val="standardContextual"/>
            </w:rPr>
          </w:pPr>
          <w:hyperlink w:anchor="_Toc202174420" w:history="1">
            <w:r w:rsidRPr="00C31760">
              <w:rPr>
                <w:rStyle w:val="Hipercze"/>
                <w:rFonts w:cstheme="minorHAnsi"/>
                <w:noProof/>
              </w:rPr>
              <w:t>7.3.2 Efektywność energetyczna - całkowite koszty inwestycji (obniżona intensywność)</w:t>
            </w:r>
            <w:r>
              <w:rPr>
                <w:noProof/>
                <w:webHidden/>
              </w:rPr>
              <w:tab/>
            </w:r>
            <w:r>
              <w:rPr>
                <w:noProof/>
                <w:webHidden/>
              </w:rPr>
              <w:fldChar w:fldCharType="begin"/>
            </w:r>
            <w:r>
              <w:rPr>
                <w:noProof/>
                <w:webHidden/>
              </w:rPr>
              <w:instrText xml:space="preserve"> PAGEREF _Toc202174420 \h </w:instrText>
            </w:r>
            <w:r>
              <w:rPr>
                <w:noProof/>
                <w:webHidden/>
              </w:rPr>
            </w:r>
            <w:r>
              <w:rPr>
                <w:noProof/>
                <w:webHidden/>
              </w:rPr>
              <w:fldChar w:fldCharType="separate"/>
            </w:r>
            <w:r>
              <w:rPr>
                <w:noProof/>
                <w:webHidden/>
              </w:rPr>
              <w:t>20</w:t>
            </w:r>
            <w:r>
              <w:rPr>
                <w:noProof/>
                <w:webHidden/>
              </w:rPr>
              <w:fldChar w:fldCharType="end"/>
            </w:r>
          </w:hyperlink>
        </w:p>
        <w:p w14:paraId="2B166A1D" w14:textId="53BF7536" w:rsidR="005962A6" w:rsidRDefault="005962A6">
          <w:pPr>
            <w:pStyle w:val="Spistreci4"/>
            <w:tabs>
              <w:tab w:val="right" w:leader="dot" w:pos="9062"/>
            </w:tabs>
            <w:rPr>
              <w:noProof/>
              <w:kern w:val="2"/>
              <w:sz w:val="24"/>
              <w:szCs w:val="24"/>
              <w14:ligatures w14:val="standardContextual"/>
            </w:rPr>
          </w:pPr>
          <w:hyperlink w:anchor="_Toc202174421" w:history="1">
            <w:r w:rsidRPr="00C31760">
              <w:rPr>
                <w:rStyle w:val="Hipercze"/>
                <w:rFonts w:cstheme="minorHAnsi"/>
                <w:noProof/>
              </w:rPr>
              <w:t>7.3.3 Efektywność energetyczna w budynkach - Całkowite koszty inwestycji</w:t>
            </w:r>
            <w:r>
              <w:rPr>
                <w:noProof/>
                <w:webHidden/>
              </w:rPr>
              <w:tab/>
            </w:r>
            <w:r>
              <w:rPr>
                <w:noProof/>
                <w:webHidden/>
              </w:rPr>
              <w:fldChar w:fldCharType="begin"/>
            </w:r>
            <w:r>
              <w:rPr>
                <w:noProof/>
                <w:webHidden/>
              </w:rPr>
              <w:instrText xml:space="preserve"> PAGEREF _Toc202174421 \h </w:instrText>
            </w:r>
            <w:r>
              <w:rPr>
                <w:noProof/>
                <w:webHidden/>
              </w:rPr>
            </w:r>
            <w:r>
              <w:rPr>
                <w:noProof/>
                <w:webHidden/>
              </w:rPr>
              <w:fldChar w:fldCharType="separate"/>
            </w:r>
            <w:r>
              <w:rPr>
                <w:noProof/>
                <w:webHidden/>
              </w:rPr>
              <w:t>20</w:t>
            </w:r>
            <w:r>
              <w:rPr>
                <w:noProof/>
                <w:webHidden/>
              </w:rPr>
              <w:fldChar w:fldCharType="end"/>
            </w:r>
          </w:hyperlink>
        </w:p>
        <w:p w14:paraId="15F1A8FD" w14:textId="76CB9ACA" w:rsidR="005962A6" w:rsidRDefault="005962A6">
          <w:pPr>
            <w:pStyle w:val="Spistreci4"/>
            <w:tabs>
              <w:tab w:val="right" w:leader="dot" w:pos="9062"/>
            </w:tabs>
            <w:rPr>
              <w:noProof/>
              <w:kern w:val="2"/>
              <w:sz w:val="24"/>
              <w:szCs w:val="24"/>
              <w14:ligatures w14:val="standardContextual"/>
            </w:rPr>
          </w:pPr>
          <w:hyperlink w:anchor="_Toc202174422" w:history="1">
            <w:r w:rsidRPr="00C31760">
              <w:rPr>
                <w:rStyle w:val="Hipercze"/>
                <w:rFonts w:cstheme="minorHAnsi"/>
                <w:noProof/>
              </w:rPr>
              <w:t>7.3.4 OZE, wodór i kogeneracja – całkowite</w:t>
            </w:r>
            <w:r w:rsidRPr="00C31760">
              <w:rPr>
                <w:rStyle w:val="Hipercze"/>
                <w:noProof/>
              </w:rPr>
              <w:t xml:space="preserve"> koszty </w:t>
            </w:r>
            <w:r w:rsidRPr="00C31760">
              <w:rPr>
                <w:rStyle w:val="Hipercze"/>
                <w:rFonts w:cstheme="minorHAnsi"/>
                <w:noProof/>
              </w:rPr>
              <w:t>inwestycji</w:t>
            </w:r>
            <w:r>
              <w:rPr>
                <w:noProof/>
                <w:webHidden/>
              </w:rPr>
              <w:tab/>
            </w:r>
            <w:r>
              <w:rPr>
                <w:noProof/>
                <w:webHidden/>
              </w:rPr>
              <w:fldChar w:fldCharType="begin"/>
            </w:r>
            <w:r>
              <w:rPr>
                <w:noProof/>
                <w:webHidden/>
              </w:rPr>
              <w:instrText xml:space="preserve"> PAGEREF _Toc202174422 \h </w:instrText>
            </w:r>
            <w:r>
              <w:rPr>
                <w:noProof/>
                <w:webHidden/>
              </w:rPr>
            </w:r>
            <w:r>
              <w:rPr>
                <w:noProof/>
                <w:webHidden/>
              </w:rPr>
              <w:fldChar w:fldCharType="separate"/>
            </w:r>
            <w:r>
              <w:rPr>
                <w:noProof/>
                <w:webHidden/>
              </w:rPr>
              <w:t>21</w:t>
            </w:r>
            <w:r>
              <w:rPr>
                <w:noProof/>
                <w:webHidden/>
              </w:rPr>
              <w:fldChar w:fldCharType="end"/>
            </w:r>
          </w:hyperlink>
        </w:p>
        <w:p w14:paraId="72ECAC34" w14:textId="6073E096" w:rsidR="005962A6" w:rsidRDefault="005962A6">
          <w:pPr>
            <w:pStyle w:val="Spistreci4"/>
            <w:tabs>
              <w:tab w:val="right" w:leader="dot" w:pos="9062"/>
            </w:tabs>
            <w:rPr>
              <w:noProof/>
              <w:kern w:val="2"/>
              <w:sz w:val="24"/>
              <w:szCs w:val="24"/>
              <w14:ligatures w14:val="standardContextual"/>
            </w:rPr>
          </w:pPr>
          <w:hyperlink w:anchor="_Toc202174423" w:history="1">
            <w:r w:rsidRPr="00C31760">
              <w:rPr>
                <w:rStyle w:val="Hipercze"/>
                <w:rFonts w:cstheme="minorHAnsi"/>
                <w:noProof/>
              </w:rPr>
              <w:t>7.3.5 Gospodarowanie zasobami i GOZ - Dodatkowe koszty (scenariusz alternatywny)</w:t>
            </w:r>
            <w:r>
              <w:rPr>
                <w:noProof/>
                <w:webHidden/>
              </w:rPr>
              <w:tab/>
            </w:r>
            <w:r>
              <w:rPr>
                <w:noProof/>
                <w:webHidden/>
              </w:rPr>
              <w:fldChar w:fldCharType="begin"/>
            </w:r>
            <w:r>
              <w:rPr>
                <w:noProof/>
                <w:webHidden/>
              </w:rPr>
              <w:instrText xml:space="preserve"> PAGEREF _Toc202174423 \h </w:instrText>
            </w:r>
            <w:r>
              <w:rPr>
                <w:noProof/>
                <w:webHidden/>
              </w:rPr>
            </w:r>
            <w:r>
              <w:rPr>
                <w:noProof/>
                <w:webHidden/>
              </w:rPr>
              <w:fldChar w:fldCharType="separate"/>
            </w:r>
            <w:r>
              <w:rPr>
                <w:noProof/>
                <w:webHidden/>
              </w:rPr>
              <w:t>21</w:t>
            </w:r>
            <w:r>
              <w:rPr>
                <w:noProof/>
                <w:webHidden/>
              </w:rPr>
              <w:fldChar w:fldCharType="end"/>
            </w:r>
          </w:hyperlink>
        </w:p>
        <w:p w14:paraId="7C972CDD" w14:textId="1E0F638D" w:rsidR="005962A6" w:rsidRDefault="005962A6">
          <w:pPr>
            <w:pStyle w:val="Spistreci4"/>
            <w:tabs>
              <w:tab w:val="right" w:leader="dot" w:pos="9062"/>
            </w:tabs>
            <w:rPr>
              <w:noProof/>
              <w:kern w:val="2"/>
              <w:sz w:val="24"/>
              <w:szCs w:val="24"/>
              <w14:ligatures w14:val="standardContextual"/>
            </w:rPr>
          </w:pPr>
          <w:hyperlink w:anchor="_Toc202174424" w:history="1">
            <w:r w:rsidRPr="00C31760">
              <w:rPr>
                <w:rStyle w:val="Hipercze"/>
                <w:rFonts w:cstheme="minorHAnsi"/>
                <w:noProof/>
              </w:rPr>
              <w:t>7.3.6 Gospodarowanie zasobami i GOZ - Dodatkowe komponenty w istniejącym zakładzie</w:t>
            </w:r>
            <w:r>
              <w:rPr>
                <w:noProof/>
                <w:webHidden/>
              </w:rPr>
              <w:tab/>
            </w:r>
            <w:r>
              <w:rPr>
                <w:noProof/>
                <w:webHidden/>
              </w:rPr>
              <w:fldChar w:fldCharType="begin"/>
            </w:r>
            <w:r>
              <w:rPr>
                <w:noProof/>
                <w:webHidden/>
              </w:rPr>
              <w:instrText xml:space="preserve"> PAGEREF _Toc202174424 \h </w:instrText>
            </w:r>
            <w:r>
              <w:rPr>
                <w:noProof/>
                <w:webHidden/>
              </w:rPr>
            </w:r>
            <w:r>
              <w:rPr>
                <w:noProof/>
                <w:webHidden/>
              </w:rPr>
              <w:fldChar w:fldCharType="separate"/>
            </w:r>
            <w:r>
              <w:rPr>
                <w:noProof/>
                <w:webHidden/>
              </w:rPr>
              <w:t>22</w:t>
            </w:r>
            <w:r>
              <w:rPr>
                <w:noProof/>
                <w:webHidden/>
              </w:rPr>
              <w:fldChar w:fldCharType="end"/>
            </w:r>
          </w:hyperlink>
        </w:p>
        <w:p w14:paraId="4EA122BB" w14:textId="521D80C8" w:rsidR="005962A6" w:rsidRDefault="005962A6">
          <w:pPr>
            <w:pStyle w:val="Spistreci2"/>
            <w:rPr>
              <w:rFonts w:eastAsiaTheme="minorEastAsia"/>
              <w:noProof/>
              <w:kern w:val="2"/>
              <w:sz w:val="24"/>
              <w:szCs w:val="24"/>
              <w:lang w:eastAsia="pl-PL"/>
              <w14:ligatures w14:val="standardContextual"/>
            </w:rPr>
          </w:pPr>
          <w:hyperlink w:anchor="_Toc202174425" w:history="1">
            <w:r w:rsidRPr="00C31760">
              <w:rPr>
                <w:rStyle w:val="Hipercze"/>
                <w:rFonts w:cstheme="minorHAnsi"/>
                <w:b/>
                <w:noProof/>
              </w:rPr>
              <w:t>8</w:t>
            </w:r>
            <w:r>
              <w:rPr>
                <w:rFonts w:eastAsiaTheme="minorEastAsia"/>
                <w:noProof/>
                <w:kern w:val="2"/>
                <w:sz w:val="24"/>
                <w:szCs w:val="24"/>
                <w:lang w:eastAsia="pl-PL"/>
                <w14:ligatures w14:val="standardContextual"/>
              </w:rPr>
              <w:tab/>
            </w:r>
            <w:r w:rsidRPr="00C31760">
              <w:rPr>
                <w:rStyle w:val="Hipercze"/>
                <w:rFonts w:cstheme="minorHAnsi"/>
                <w:b/>
                <w:noProof/>
              </w:rPr>
              <w:t>Pomoc de minimis</w:t>
            </w:r>
            <w:r>
              <w:rPr>
                <w:noProof/>
                <w:webHidden/>
              </w:rPr>
              <w:tab/>
            </w:r>
            <w:r>
              <w:rPr>
                <w:noProof/>
                <w:webHidden/>
              </w:rPr>
              <w:fldChar w:fldCharType="begin"/>
            </w:r>
            <w:r>
              <w:rPr>
                <w:noProof/>
                <w:webHidden/>
              </w:rPr>
              <w:instrText xml:space="preserve"> PAGEREF _Toc202174425 \h </w:instrText>
            </w:r>
            <w:r>
              <w:rPr>
                <w:noProof/>
                <w:webHidden/>
              </w:rPr>
            </w:r>
            <w:r>
              <w:rPr>
                <w:noProof/>
                <w:webHidden/>
              </w:rPr>
              <w:fldChar w:fldCharType="separate"/>
            </w:r>
            <w:r>
              <w:rPr>
                <w:noProof/>
                <w:webHidden/>
              </w:rPr>
              <w:t>23</w:t>
            </w:r>
            <w:r>
              <w:rPr>
                <w:noProof/>
                <w:webHidden/>
              </w:rPr>
              <w:fldChar w:fldCharType="end"/>
            </w:r>
          </w:hyperlink>
        </w:p>
        <w:p w14:paraId="16BE30EF" w14:textId="156CA4D9" w:rsidR="005962A6" w:rsidRDefault="005962A6">
          <w:pPr>
            <w:pStyle w:val="Spistreci3"/>
            <w:rPr>
              <w:rFonts w:eastAsiaTheme="minorEastAsia" w:cstheme="minorBidi"/>
              <w:bCs w:val="0"/>
              <w:kern w:val="2"/>
              <w:lang w:eastAsia="pl-PL"/>
              <w14:ligatures w14:val="standardContextual"/>
            </w:rPr>
          </w:pPr>
          <w:hyperlink w:anchor="_Toc202174426" w:history="1">
            <w:r w:rsidRPr="00C31760">
              <w:rPr>
                <w:rStyle w:val="Hipercze"/>
              </w:rPr>
              <w:t>8.1 Kategorie wydatków objętych pomocą de minimis</w:t>
            </w:r>
            <w:r>
              <w:rPr>
                <w:webHidden/>
              </w:rPr>
              <w:tab/>
            </w:r>
            <w:r>
              <w:rPr>
                <w:webHidden/>
              </w:rPr>
              <w:fldChar w:fldCharType="begin"/>
            </w:r>
            <w:r>
              <w:rPr>
                <w:webHidden/>
              </w:rPr>
              <w:instrText xml:space="preserve"> PAGEREF _Toc202174426 \h </w:instrText>
            </w:r>
            <w:r>
              <w:rPr>
                <w:webHidden/>
              </w:rPr>
            </w:r>
            <w:r>
              <w:rPr>
                <w:webHidden/>
              </w:rPr>
              <w:fldChar w:fldCharType="separate"/>
            </w:r>
            <w:r>
              <w:rPr>
                <w:webHidden/>
              </w:rPr>
              <w:t>23</w:t>
            </w:r>
            <w:r>
              <w:rPr>
                <w:webHidden/>
              </w:rPr>
              <w:fldChar w:fldCharType="end"/>
            </w:r>
          </w:hyperlink>
        </w:p>
        <w:p w14:paraId="196801DD" w14:textId="13568E76" w:rsidR="005962A6" w:rsidRDefault="005962A6">
          <w:pPr>
            <w:pStyle w:val="Spistreci3"/>
            <w:rPr>
              <w:rFonts w:eastAsiaTheme="minorEastAsia" w:cstheme="minorBidi"/>
              <w:bCs w:val="0"/>
              <w:kern w:val="2"/>
              <w:lang w:eastAsia="pl-PL"/>
              <w14:ligatures w14:val="standardContextual"/>
            </w:rPr>
          </w:pPr>
          <w:hyperlink w:anchor="_Toc202174427" w:history="1">
            <w:r w:rsidRPr="00C31760">
              <w:rPr>
                <w:rStyle w:val="Hipercze"/>
              </w:rPr>
              <w:t>8.2</w:t>
            </w:r>
            <w:r>
              <w:rPr>
                <w:rFonts w:eastAsiaTheme="minorEastAsia" w:cstheme="minorBidi"/>
                <w:bCs w:val="0"/>
                <w:kern w:val="2"/>
                <w:lang w:eastAsia="pl-PL"/>
                <w14:ligatures w14:val="standardContextual"/>
              </w:rPr>
              <w:tab/>
            </w:r>
            <w:r w:rsidRPr="00C31760">
              <w:rPr>
                <w:rStyle w:val="Hipercze"/>
              </w:rPr>
              <w:t>Limity wydatków kwalifikowalnych oraz limity dofinansowania</w:t>
            </w:r>
            <w:r>
              <w:rPr>
                <w:webHidden/>
              </w:rPr>
              <w:tab/>
            </w:r>
            <w:r>
              <w:rPr>
                <w:webHidden/>
              </w:rPr>
              <w:fldChar w:fldCharType="begin"/>
            </w:r>
            <w:r>
              <w:rPr>
                <w:webHidden/>
              </w:rPr>
              <w:instrText xml:space="preserve"> PAGEREF _Toc202174427 \h </w:instrText>
            </w:r>
            <w:r>
              <w:rPr>
                <w:webHidden/>
              </w:rPr>
            </w:r>
            <w:r>
              <w:rPr>
                <w:webHidden/>
              </w:rPr>
              <w:fldChar w:fldCharType="separate"/>
            </w:r>
            <w:r>
              <w:rPr>
                <w:webHidden/>
              </w:rPr>
              <w:t>23</w:t>
            </w:r>
            <w:r>
              <w:rPr>
                <w:webHidden/>
              </w:rPr>
              <w:fldChar w:fldCharType="end"/>
            </w:r>
          </w:hyperlink>
        </w:p>
        <w:p w14:paraId="461C483D" w14:textId="01978155" w:rsidR="005962A6" w:rsidRDefault="005962A6">
          <w:pPr>
            <w:pStyle w:val="Spistreci3"/>
            <w:rPr>
              <w:rFonts w:eastAsiaTheme="minorEastAsia" w:cstheme="minorBidi"/>
              <w:bCs w:val="0"/>
              <w:kern w:val="2"/>
              <w:lang w:eastAsia="pl-PL"/>
              <w14:ligatures w14:val="standardContextual"/>
            </w:rPr>
          </w:pPr>
          <w:hyperlink w:anchor="_Toc202174428" w:history="1">
            <w:r w:rsidRPr="00C31760">
              <w:rPr>
                <w:rStyle w:val="Hipercze"/>
              </w:rPr>
              <w:t>8.3</w:t>
            </w:r>
            <w:r>
              <w:rPr>
                <w:rFonts w:eastAsiaTheme="minorEastAsia" w:cstheme="minorBidi"/>
                <w:bCs w:val="0"/>
                <w:kern w:val="2"/>
                <w:lang w:eastAsia="pl-PL"/>
                <w14:ligatures w14:val="standardContextual"/>
              </w:rPr>
              <w:tab/>
            </w:r>
            <w:r w:rsidRPr="00C31760">
              <w:rPr>
                <w:rStyle w:val="Hipercze"/>
              </w:rPr>
              <w:t>Kategorie wydatków kwalifikowalnych</w:t>
            </w:r>
            <w:r>
              <w:rPr>
                <w:webHidden/>
              </w:rPr>
              <w:tab/>
            </w:r>
            <w:r>
              <w:rPr>
                <w:webHidden/>
              </w:rPr>
              <w:fldChar w:fldCharType="begin"/>
            </w:r>
            <w:r>
              <w:rPr>
                <w:webHidden/>
              </w:rPr>
              <w:instrText xml:space="preserve"> PAGEREF _Toc202174428 \h </w:instrText>
            </w:r>
            <w:r>
              <w:rPr>
                <w:webHidden/>
              </w:rPr>
            </w:r>
            <w:r>
              <w:rPr>
                <w:webHidden/>
              </w:rPr>
              <w:fldChar w:fldCharType="separate"/>
            </w:r>
            <w:r>
              <w:rPr>
                <w:webHidden/>
              </w:rPr>
              <w:t>23</w:t>
            </w:r>
            <w:r>
              <w:rPr>
                <w:webHidden/>
              </w:rPr>
              <w:fldChar w:fldCharType="end"/>
            </w:r>
          </w:hyperlink>
        </w:p>
        <w:p w14:paraId="460C148A" w14:textId="11FE7B2F" w:rsidR="005962A6" w:rsidRDefault="005962A6">
          <w:pPr>
            <w:pStyle w:val="Spistreci4"/>
            <w:tabs>
              <w:tab w:val="right" w:leader="dot" w:pos="9062"/>
            </w:tabs>
            <w:rPr>
              <w:noProof/>
              <w:kern w:val="2"/>
              <w:sz w:val="24"/>
              <w:szCs w:val="24"/>
              <w14:ligatures w14:val="standardContextual"/>
            </w:rPr>
          </w:pPr>
          <w:hyperlink w:anchor="_Toc202174429" w:history="1">
            <w:r w:rsidRPr="00C31760">
              <w:rPr>
                <w:rStyle w:val="Hipercze"/>
                <w:rFonts w:cstheme="minorHAnsi"/>
                <w:noProof/>
              </w:rPr>
              <w:t>8.3.1 Usługi zewnętrzne (doradztwo)</w:t>
            </w:r>
            <w:r>
              <w:rPr>
                <w:noProof/>
                <w:webHidden/>
              </w:rPr>
              <w:tab/>
            </w:r>
            <w:r>
              <w:rPr>
                <w:noProof/>
                <w:webHidden/>
              </w:rPr>
              <w:fldChar w:fldCharType="begin"/>
            </w:r>
            <w:r>
              <w:rPr>
                <w:noProof/>
                <w:webHidden/>
              </w:rPr>
              <w:instrText xml:space="preserve"> PAGEREF _Toc202174429 \h </w:instrText>
            </w:r>
            <w:r>
              <w:rPr>
                <w:noProof/>
                <w:webHidden/>
              </w:rPr>
            </w:r>
            <w:r>
              <w:rPr>
                <w:noProof/>
                <w:webHidden/>
              </w:rPr>
              <w:fldChar w:fldCharType="separate"/>
            </w:r>
            <w:r>
              <w:rPr>
                <w:noProof/>
                <w:webHidden/>
              </w:rPr>
              <w:t>23</w:t>
            </w:r>
            <w:r>
              <w:rPr>
                <w:noProof/>
                <w:webHidden/>
              </w:rPr>
              <w:fldChar w:fldCharType="end"/>
            </w:r>
          </w:hyperlink>
        </w:p>
        <w:p w14:paraId="587CDDCE" w14:textId="28C47D71" w:rsidR="005962A6" w:rsidRDefault="005962A6">
          <w:pPr>
            <w:pStyle w:val="Spistreci4"/>
            <w:tabs>
              <w:tab w:val="right" w:leader="dot" w:pos="9062"/>
            </w:tabs>
            <w:rPr>
              <w:noProof/>
              <w:kern w:val="2"/>
              <w:sz w:val="24"/>
              <w:szCs w:val="24"/>
              <w14:ligatures w14:val="standardContextual"/>
            </w:rPr>
          </w:pPr>
          <w:hyperlink w:anchor="_Toc202174430" w:history="1">
            <w:r w:rsidRPr="00C31760">
              <w:rPr>
                <w:rStyle w:val="Hipercze"/>
                <w:rFonts w:cstheme="minorHAnsi"/>
                <w:noProof/>
              </w:rPr>
              <w:t>8.3.2 Wydatki dotyczące subskrypcji oprogramowania</w:t>
            </w:r>
            <w:r>
              <w:rPr>
                <w:noProof/>
                <w:webHidden/>
              </w:rPr>
              <w:tab/>
            </w:r>
            <w:r>
              <w:rPr>
                <w:noProof/>
                <w:webHidden/>
              </w:rPr>
              <w:fldChar w:fldCharType="begin"/>
            </w:r>
            <w:r>
              <w:rPr>
                <w:noProof/>
                <w:webHidden/>
              </w:rPr>
              <w:instrText xml:space="preserve"> PAGEREF _Toc202174430 \h </w:instrText>
            </w:r>
            <w:r>
              <w:rPr>
                <w:noProof/>
                <w:webHidden/>
              </w:rPr>
            </w:r>
            <w:r>
              <w:rPr>
                <w:noProof/>
                <w:webHidden/>
              </w:rPr>
              <w:fldChar w:fldCharType="separate"/>
            </w:r>
            <w:r>
              <w:rPr>
                <w:noProof/>
                <w:webHidden/>
              </w:rPr>
              <w:t>24</w:t>
            </w:r>
            <w:r>
              <w:rPr>
                <w:noProof/>
                <w:webHidden/>
              </w:rPr>
              <w:fldChar w:fldCharType="end"/>
            </w:r>
          </w:hyperlink>
        </w:p>
        <w:p w14:paraId="49560259" w14:textId="3199BF0B" w:rsidR="005962A6" w:rsidRDefault="005962A6">
          <w:pPr>
            <w:pStyle w:val="Spistreci4"/>
            <w:tabs>
              <w:tab w:val="right" w:leader="dot" w:pos="9062"/>
            </w:tabs>
            <w:rPr>
              <w:noProof/>
              <w:kern w:val="2"/>
              <w:sz w:val="24"/>
              <w:szCs w:val="24"/>
              <w14:ligatures w14:val="standardContextual"/>
            </w:rPr>
          </w:pPr>
          <w:hyperlink w:anchor="_Toc202174431" w:history="1">
            <w:r w:rsidRPr="00C31760">
              <w:rPr>
                <w:rStyle w:val="Hipercze"/>
                <w:rFonts w:cstheme="minorHAnsi"/>
                <w:noProof/>
              </w:rPr>
              <w:t>8.3.3 Wydatki dotyczące wspierania innowacyjności</w:t>
            </w:r>
            <w:r>
              <w:rPr>
                <w:noProof/>
                <w:webHidden/>
              </w:rPr>
              <w:tab/>
            </w:r>
            <w:r>
              <w:rPr>
                <w:noProof/>
                <w:webHidden/>
              </w:rPr>
              <w:fldChar w:fldCharType="begin"/>
            </w:r>
            <w:r>
              <w:rPr>
                <w:noProof/>
                <w:webHidden/>
              </w:rPr>
              <w:instrText xml:space="preserve"> PAGEREF _Toc202174431 \h </w:instrText>
            </w:r>
            <w:r>
              <w:rPr>
                <w:noProof/>
                <w:webHidden/>
              </w:rPr>
            </w:r>
            <w:r>
              <w:rPr>
                <w:noProof/>
                <w:webHidden/>
              </w:rPr>
              <w:fldChar w:fldCharType="separate"/>
            </w:r>
            <w:r>
              <w:rPr>
                <w:noProof/>
                <w:webHidden/>
              </w:rPr>
              <w:t>24</w:t>
            </w:r>
            <w:r>
              <w:rPr>
                <w:noProof/>
                <w:webHidden/>
              </w:rPr>
              <w:fldChar w:fldCharType="end"/>
            </w:r>
          </w:hyperlink>
        </w:p>
        <w:p w14:paraId="03A4FA5C" w14:textId="07EBA11D" w:rsidR="005962A6" w:rsidRDefault="005962A6">
          <w:pPr>
            <w:pStyle w:val="Spistreci2"/>
            <w:rPr>
              <w:rFonts w:eastAsiaTheme="minorEastAsia"/>
              <w:noProof/>
              <w:kern w:val="2"/>
              <w:sz w:val="24"/>
              <w:szCs w:val="24"/>
              <w:lang w:eastAsia="pl-PL"/>
              <w14:ligatures w14:val="standardContextual"/>
            </w:rPr>
          </w:pPr>
          <w:hyperlink w:anchor="_Toc202174432" w:history="1">
            <w:r w:rsidRPr="00C31760">
              <w:rPr>
                <w:rStyle w:val="Hipercze"/>
                <w:rFonts w:cstheme="minorHAnsi"/>
                <w:b/>
                <w:noProof/>
              </w:rPr>
              <w:t>Tabele intensywności wsparcia</w:t>
            </w:r>
            <w:r w:rsidRPr="00C31760">
              <w:rPr>
                <w:rStyle w:val="Hipercze"/>
                <w:rFonts w:cstheme="minorHAnsi"/>
                <w:b/>
                <w:bCs/>
                <w:noProof/>
              </w:rPr>
              <w:t xml:space="preserve"> </w:t>
            </w:r>
            <w:r>
              <w:rPr>
                <w:noProof/>
                <w:webHidden/>
              </w:rPr>
              <w:tab/>
            </w:r>
            <w:r>
              <w:rPr>
                <w:noProof/>
                <w:webHidden/>
              </w:rPr>
              <w:fldChar w:fldCharType="begin"/>
            </w:r>
            <w:r>
              <w:rPr>
                <w:noProof/>
                <w:webHidden/>
              </w:rPr>
              <w:instrText xml:space="preserve"> PAGEREF _Toc202174432 \h </w:instrText>
            </w:r>
            <w:r>
              <w:rPr>
                <w:noProof/>
                <w:webHidden/>
              </w:rPr>
            </w:r>
            <w:r>
              <w:rPr>
                <w:noProof/>
                <w:webHidden/>
              </w:rPr>
              <w:fldChar w:fldCharType="separate"/>
            </w:r>
            <w:r>
              <w:rPr>
                <w:noProof/>
                <w:webHidden/>
              </w:rPr>
              <w:t>25</w:t>
            </w:r>
            <w:r>
              <w:rPr>
                <w:noProof/>
                <w:webHidden/>
              </w:rPr>
              <w:fldChar w:fldCharType="end"/>
            </w:r>
          </w:hyperlink>
        </w:p>
        <w:p w14:paraId="0FB4F139" w14:textId="1F8275AF" w:rsidR="00F1193F" w:rsidRPr="00907EF1" w:rsidRDefault="00240CE8" w:rsidP="00762814">
          <w:pPr>
            <w:spacing w:after="120" w:line="276" w:lineRule="auto"/>
            <w:rPr>
              <w:rFonts w:cstheme="minorHAnsi"/>
              <w:sz w:val="24"/>
              <w:szCs w:val="24"/>
            </w:rPr>
          </w:pPr>
          <w:r w:rsidRPr="00907EF1">
            <w:rPr>
              <w:rFonts w:cstheme="minorHAnsi"/>
              <w:b/>
              <w:bCs/>
              <w:noProof/>
              <w:sz w:val="24"/>
              <w:szCs w:val="24"/>
            </w:rPr>
            <w:fldChar w:fldCharType="end"/>
          </w:r>
        </w:p>
      </w:sdtContent>
    </w:sdt>
    <w:p w14:paraId="54A88D2A" w14:textId="6135DCAB" w:rsidR="00DC3683" w:rsidRPr="00907EF1" w:rsidRDefault="00DE4ADC" w:rsidP="00762814">
      <w:pPr>
        <w:spacing w:after="120" w:line="276" w:lineRule="auto"/>
        <w:rPr>
          <w:rFonts w:cstheme="minorHAnsi"/>
          <w:sz w:val="24"/>
          <w:szCs w:val="24"/>
        </w:rPr>
      </w:pPr>
      <w:r w:rsidRPr="00907EF1">
        <w:rPr>
          <w:rFonts w:cstheme="minorHAnsi"/>
          <w:sz w:val="24"/>
          <w:szCs w:val="24"/>
        </w:rPr>
        <w:br w:type="page"/>
      </w:r>
    </w:p>
    <w:p w14:paraId="75E3C9EF" w14:textId="0804307B" w:rsidR="004D5283" w:rsidRPr="00930477" w:rsidRDefault="005E6967" w:rsidP="00941ED8">
      <w:pPr>
        <w:pStyle w:val="Nagwek2"/>
        <w:numPr>
          <w:ilvl w:val="0"/>
          <w:numId w:val="10"/>
        </w:numPr>
        <w:spacing w:after="360" w:line="276" w:lineRule="auto"/>
        <w:ind w:left="714" w:hanging="357"/>
        <w:rPr>
          <w:rFonts w:asciiTheme="minorHAnsi" w:hAnsiTheme="minorHAnsi" w:cstheme="minorHAnsi"/>
          <w:b/>
          <w:color w:val="auto"/>
          <w:sz w:val="36"/>
          <w:szCs w:val="36"/>
        </w:rPr>
      </w:pPr>
      <w:bookmarkStart w:id="1" w:name="_Toc118719872"/>
      <w:bookmarkStart w:id="2" w:name="_Toc126756780"/>
      <w:bookmarkStart w:id="3" w:name="_Toc202174362"/>
      <w:r w:rsidRPr="00930477">
        <w:rPr>
          <w:rFonts w:asciiTheme="minorHAnsi" w:hAnsiTheme="minorHAnsi" w:cstheme="minorHAnsi"/>
          <w:b/>
          <w:color w:val="auto"/>
          <w:sz w:val="36"/>
          <w:szCs w:val="36"/>
        </w:rPr>
        <w:lastRenderedPageBreak/>
        <w:t>O</w:t>
      </w:r>
      <w:r w:rsidR="00722C21" w:rsidRPr="00930477">
        <w:rPr>
          <w:rFonts w:asciiTheme="minorHAnsi" w:hAnsiTheme="minorHAnsi" w:cstheme="minorHAnsi"/>
          <w:b/>
          <w:color w:val="auto"/>
          <w:sz w:val="36"/>
          <w:szCs w:val="36"/>
        </w:rPr>
        <w:t xml:space="preserve">gólne zasady kwalifikowalności wydatków </w:t>
      </w:r>
      <w:r w:rsidR="008D6FE6">
        <w:rPr>
          <w:rFonts w:asciiTheme="minorHAnsi" w:hAnsiTheme="minorHAnsi" w:cstheme="minorHAnsi"/>
          <w:b/>
          <w:color w:val="auto"/>
          <w:sz w:val="36"/>
          <w:szCs w:val="36"/>
        </w:rPr>
        <w:br/>
      </w:r>
      <w:r w:rsidR="00722C21" w:rsidRPr="00930477">
        <w:rPr>
          <w:rFonts w:asciiTheme="minorHAnsi" w:hAnsiTheme="minorHAnsi" w:cstheme="minorHAnsi"/>
          <w:b/>
          <w:color w:val="auto"/>
          <w:sz w:val="36"/>
          <w:szCs w:val="36"/>
        </w:rPr>
        <w:t>w projekcie</w:t>
      </w:r>
      <w:bookmarkEnd w:id="1"/>
      <w:bookmarkEnd w:id="2"/>
      <w:bookmarkEnd w:id="3"/>
    </w:p>
    <w:p w14:paraId="2A86D729" w14:textId="1D6EFEF6" w:rsidR="0091310C" w:rsidRDefault="009869F5" w:rsidP="00762814">
      <w:pPr>
        <w:spacing w:after="120" w:line="276" w:lineRule="auto"/>
        <w:rPr>
          <w:rFonts w:cstheme="minorHAnsi"/>
          <w:sz w:val="24"/>
          <w:szCs w:val="24"/>
        </w:rPr>
      </w:pPr>
      <w:r w:rsidRPr="00762814">
        <w:rPr>
          <w:rFonts w:cstheme="minorHAnsi"/>
          <w:sz w:val="24"/>
          <w:szCs w:val="24"/>
        </w:rPr>
        <w:t xml:space="preserve">Pojęcia „wydatki kwalifikowalne” i „koszty kwalifikowalne” są stosowane w </w:t>
      </w:r>
      <w:r w:rsidR="006C2EB4">
        <w:rPr>
          <w:rFonts w:cstheme="minorHAnsi"/>
          <w:sz w:val="24"/>
          <w:szCs w:val="24"/>
        </w:rPr>
        <w:t xml:space="preserve">niniejszym </w:t>
      </w:r>
      <w:r w:rsidRPr="00762814">
        <w:rPr>
          <w:rFonts w:cstheme="minorHAnsi"/>
          <w:sz w:val="24"/>
          <w:szCs w:val="24"/>
        </w:rPr>
        <w:t>Przewodniku zamiennie.</w:t>
      </w:r>
    </w:p>
    <w:p w14:paraId="54C00F75" w14:textId="29B279CA" w:rsidR="00280102" w:rsidRDefault="00903E67" w:rsidP="00F30778">
      <w:pPr>
        <w:spacing w:after="120" w:line="276" w:lineRule="auto"/>
        <w:rPr>
          <w:rFonts w:cstheme="minorHAnsi"/>
          <w:sz w:val="24"/>
          <w:szCs w:val="24"/>
        </w:rPr>
      </w:pPr>
      <w:r>
        <w:rPr>
          <w:rFonts w:cstheme="minorHAnsi"/>
          <w:sz w:val="24"/>
          <w:szCs w:val="24"/>
        </w:rPr>
        <w:t>Zasady kwalifikowalności wydatków opierają się na Wytycznych dotyczący</w:t>
      </w:r>
      <w:r w:rsidR="002E6ED4">
        <w:rPr>
          <w:rFonts w:cstheme="minorHAnsi"/>
          <w:sz w:val="24"/>
          <w:szCs w:val="24"/>
        </w:rPr>
        <w:t>ch</w:t>
      </w:r>
      <w:r>
        <w:rPr>
          <w:rFonts w:cstheme="minorHAnsi"/>
          <w:sz w:val="24"/>
          <w:szCs w:val="24"/>
        </w:rPr>
        <w:t xml:space="preserve"> kwalifikowalności wydatków na lata 2021-2027</w:t>
      </w:r>
      <w:r w:rsidR="001E58D6">
        <w:rPr>
          <w:rStyle w:val="Odwoanieprzypisudolnego"/>
          <w:rFonts w:cstheme="minorHAnsi"/>
          <w:sz w:val="24"/>
          <w:szCs w:val="24"/>
        </w:rPr>
        <w:footnoteReference w:id="2"/>
      </w:r>
      <w:r>
        <w:rPr>
          <w:rFonts w:cstheme="minorHAnsi"/>
          <w:sz w:val="24"/>
          <w:szCs w:val="24"/>
        </w:rPr>
        <w:t xml:space="preserve">. </w:t>
      </w:r>
    </w:p>
    <w:p w14:paraId="291429E9" w14:textId="77777777" w:rsidR="00F30778" w:rsidRDefault="00F30778" w:rsidP="00F30778">
      <w:pPr>
        <w:spacing w:after="120" w:line="276" w:lineRule="auto"/>
        <w:rPr>
          <w:rFonts w:cstheme="minorHAnsi"/>
          <w:sz w:val="24"/>
          <w:szCs w:val="24"/>
        </w:rPr>
      </w:pPr>
    </w:p>
    <w:p w14:paraId="3F199BC0" w14:textId="2AE70EA3" w:rsidR="00FE07A9" w:rsidRPr="00151815" w:rsidRDefault="00FE07A9" w:rsidP="00F30778">
      <w:pPr>
        <w:spacing w:after="120" w:line="276" w:lineRule="auto"/>
        <w:rPr>
          <w:rFonts w:cstheme="minorHAnsi"/>
          <w:sz w:val="24"/>
          <w:szCs w:val="24"/>
        </w:rPr>
      </w:pPr>
      <w:r w:rsidRPr="00151815">
        <w:rPr>
          <w:rFonts w:cstheme="minorHAnsi"/>
          <w:sz w:val="24"/>
          <w:szCs w:val="24"/>
        </w:rPr>
        <w:t>Postanowienia niniejszego Przewodnika w zakresie pomocy udzielanej dużym przedsiębiorcom mają zastosowanie pod warunkiem wejścia w życie rozporządzenia Ministra Funduszy i Polityki Regionalnej zmieniającego rozporządzenie w sprawie udzielania przez Polską Agencję Rozwoju Przedsiębiorczości pomocy finansowej w ramach programu Fundusze Europejskie dla Nowoczesnej Gospodarki 2021–2027 (Nr w wykazie prac legislacyjnych Ministra Funduszy i Polityki Regionalnej: 117) przed rozpoczęciem naboru wniosków (wszczęciem postępowania w sprawie udzielania pomocy publicznej w rozumieniu przepisów przejściowych tego rozporządzenia).</w:t>
      </w:r>
    </w:p>
    <w:p w14:paraId="7087B2A5" w14:textId="77777777" w:rsidR="00FE07A9" w:rsidRDefault="00FE07A9" w:rsidP="00F30778">
      <w:pPr>
        <w:spacing w:after="120" w:line="276" w:lineRule="auto"/>
        <w:rPr>
          <w:rFonts w:cstheme="minorHAnsi"/>
          <w:sz w:val="24"/>
          <w:szCs w:val="24"/>
        </w:rPr>
      </w:pPr>
    </w:p>
    <w:p w14:paraId="774E3ECB" w14:textId="78F07A5F" w:rsidR="00280102" w:rsidRPr="00762814" w:rsidRDefault="00280102" w:rsidP="00151815">
      <w:pPr>
        <w:shd w:val="clear" w:color="auto" w:fill="FFFFFF" w:themeFill="background1"/>
        <w:spacing w:after="120" w:line="276" w:lineRule="auto"/>
        <w:rPr>
          <w:rFonts w:cstheme="minorHAnsi"/>
          <w:sz w:val="24"/>
          <w:szCs w:val="24"/>
        </w:rPr>
      </w:pPr>
      <w:r w:rsidRPr="00151815">
        <w:rPr>
          <w:rFonts w:cstheme="minorHAnsi"/>
          <w:sz w:val="24"/>
          <w:szCs w:val="24"/>
        </w:rPr>
        <w:t xml:space="preserve">Suma kwalifikowalnych kosztów gruntów oraz nieruchomości zabudowanych nie może przekroczyć 10% całkowitych wydatków kwalifikowalnych; w przypadku terenów opuszczonych oraz poprzemysłowych, na których znajdują się budynki, limit ten zostaje podniesiony do 15% – na podstawie art. 64 ust 1 lit. b) rozporządzenia Parlamentu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hyperlink r:id="rId12" w:history="1">
        <w:r w:rsidRPr="00151815">
          <w:rPr>
            <w:rFonts w:cstheme="minorHAnsi"/>
            <w:sz w:val="24"/>
            <w:szCs w:val="24"/>
          </w:rPr>
          <w:t>(Dz. Urz. UE L 231 z 30.06.2021, s. 159)</w:t>
        </w:r>
      </w:hyperlink>
      <w:r w:rsidRPr="00151815">
        <w:rPr>
          <w:rFonts w:cstheme="minorHAnsi"/>
          <w:sz w:val="24"/>
          <w:szCs w:val="24"/>
        </w:rPr>
        <w:t>.</w:t>
      </w:r>
    </w:p>
    <w:p w14:paraId="54D86378" w14:textId="2DF826DC" w:rsidR="007B41D7" w:rsidRPr="00930477" w:rsidRDefault="0037262B" w:rsidP="006718AF">
      <w:pPr>
        <w:pStyle w:val="Nagwek3"/>
        <w:spacing w:before="360" w:after="120" w:line="276" w:lineRule="auto"/>
        <w:ind w:left="426" w:hanging="426"/>
        <w:rPr>
          <w:rFonts w:asciiTheme="minorHAnsi" w:hAnsiTheme="minorHAnsi" w:cstheme="minorHAnsi"/>
          <w:color w:val="auto"/>
          <w:sz w:val="32"/>
        </w:rPr>
      </w:pPr>
      <w:bookmarkStart w:id="4" w:name="_Toc126756781"/>
      <w:bookmarkStart w:id="5" w:name="_Toc202174363"/>
      <w:r w:rsidRPr="00930477">
        <w:rPr>
          <w:rFonts w:asciiTheme="minorHAnsi" w:hAnsiTheme="minorHAnsi" w:cstheme="minorHAnsi"/>
          <w:color w:val="auto"/>
          <w:sz w:val="32"/>
        </w:rPr>
        <w:t>1.</w:t>
      </w:r>
      <w:r w:rsidR="002954EB" w:rsidRPr="00930477">
        <w:rPr>
          <w:rFonts w:asciiTheme="minorHAnsi" w:hAnsiTheme="minorHAnsi" w:cstheme="minorHAnsi"/>
          <w:color w:val="auto"/>
          <w:sz w:val="32"/>
        </w:rPr>
        <w:t>1</w:t>
      </w:r>
      <w:r w:rsidRPr="00930477">
        <w:rPr>
          <w:rFonts w:asciiTheme="minorHAnsi" w:hAnsiTheme="minorHAnsi" w:cstheme="minorHAnsi"/>
          <w:color w:val="auto"/>
          <w:sz w:val="32"/>
        </w:rPr>
        <w:t xml:space="preserve"> </w:t>
      </w:r>
      <w:r w:rsidR="007A01CD" w:rsidRPr="00930477">
        <w:rPr>
          <w:rFonts w:asciiTheme="minorHAnsi" w:hAnsiTheme="minorHAnsi" w:cstheme="minorHAnsi"/>
          <w:color w:val="auto"/>
          <w:sz w:val="32"/>
        </w:rPr>
        <w:t xml:space="preserve">Zasady kwalifikowalności </w:t>
      </w:r>
      <w:r w:rsidR="0014206D" w:rsidRPr="00930477">
        <w:rPr>
          <w:rFonts w:asciiTheme="minorHAnsi" w:hAnsiTheme="minorHAnsi" w:cstheme="minorHAnsi"/>
          <w:color w:val="auto"/>
          <w:sz w:val="32"/>
        </w:rPr>
        <w:t xml:space="preserve">wydatków </w:t>
      </w:r>
      <w:r w:rsidR="007A01CD" w:rsidRPr="00930477">
        <w:rPr>
          <w:rFonts w:asciiTheme="minorHAnsi" w:hAnsiTheme="minorHAnsi" w:cstheme="minorHAnsi"/>
          <w:color w:val="auto"/>
          <w:sz w:val="32"/>
        </w:rPr>
        <w:t>w ramach pomocy publicznej</w:t>
      </w:r>
      <w:r w:rsidR="0014206D" w:rsidRPr="00930477">
        <w:rPr>
          <w:rFonts w:asciiTheme="minorHAnsi" w:hAnsiTheme="minorHAnsi" w:cstheme="minorHAnsi"/>
          <w:color w:val="auto"/>
          <w:sz w:val="32"/>
        </w:rPr>
        <w:t xml:space="preserve"> oraz pomocy de </w:t>
      </w:r>
      <w:proofErr w:type="spellStart"/>
      <w:r w:rsidR="0014206D" w:rsidRPr="00930477">
        <w:rPr>
          <w:rFonts w:asciiTheme="minorHAnsi" w:hAnsiTheme="minorHAnsi" w:cstheme="minorHAnsi"/>
          <w:color w:val="auto"/>
          <w:sz w:val="32"/>
        </w:rPr>
        <w:t>minimis</w:t>
      </w:r>
      <w:bookmarkEnd w:id="4"/>
      <w:bookmarkEnd w:id="5"/>
      <w:proofErr w:type="spellEnd"/>
    </w:p>
    <w:p w14:paraId="4ED72D30" w14:textId="4E929F7E" w:rsidR="003A5CAA" w:rsidRDefault="003A5CAA" w:rsidP="0097456F">
      <w:pPr>
        <w:pStyle w:val="Tekstkomentarza"/>
        <w:spacing w:before="120" w:after="120" w:line="276" w:lineRule="auto"/>
        <w:rPr>
          <w:rFonts w:cstheme="minorHAnsi"/>
          <w:b/>
          <w:sz w:val="24"/>
          <w:szCs w:val="24"/>
        </w:rPr>
      </w:pPr>
      <w:r w:rsidRPr="00EB5EDD">
        <w:rPr>
          <w:rFonts w:cstheme="minorHAnsi"/>
          <w:b/>
          <w:sz w:val="24"/>
          <w:szCs w:val="24"/>
        </w:rPr>
        <w:t>Łączna wartość pomocy</w:t>
      </w:r>
      <w:r w:rsidR="00A91003">
        <w:rPr>
          <w:rFonts w:cstheme="minorHAnsi"/>
          <w:b/>
          <w:sz w:val="24"/>
          <w:szCs w:val="24"/>
        </w:rPr>
        <w:t xml:space="preserve"> publicznej oraz pomocy de </w:t>
      </w:r>
      <w:proofErr w:type="spellStart"/>
      <w:r w:rsidR="00A91003">
        <w:rPr>
          <w:rFonts w:cstheme="minorHAnsi"/>
          <w:b/>
          <w:sz w:val="24"/>
          <w:szCs w:val="24"/>
        </w:rPr>
        <w:t>minimis</w:t>
      </w:r>
      <w:proofErr w:type="spellEnd"/>
      <w:r w:rsidRPr="00EB5EDD">
        <w:rPr>
          <w:rFonts w:cstheme="minorHAnsi"/>
          <w:b/>
          <w:sz w:val="24"/>
          <w:szCs w:val="24"/>
        </w:rPr>
        <w:t xml:space="preserve"> na projekt</w:t>
      </w:r>
      <w:r>
        <w:rPr>
          <w:rFonts w:cstheme="minorHAnsi"/>
          <w:sz w:val="24"/>
          <w:szCs w:val="24"/>
        </w:rPr>
        <w:t xml:space="preserve"> nie może przekroczyć </w:t>
      </w:r>
      <w:r w:rsidR="006B5FB8" w:rsidRPr="0097456F">
        <w:rPr>
          <w:rFonts w:cstheme="minorHAnsi"/>
          <w:b/>
          <w:bCs/>
          <w:sz w:val="24"/>
          <w:szCs w:val="24"/>
        </w:rPr>
        <w:t>1</w:t>
      </w:r>
      <w:r w:rsidRPr="00EB5EDD">
        <w:rPr>
          <w:rFonts w:cstheme="minorHAnsi"/>
          <w:b/>
          <w:sz w:val="24"/>
          <w:szCs w:val="24"/>
        </w:rPr>
        <w:t>50 mln zł</w:t>
      </w:r>
      <w:r>
        <w:rPr>
          <w:rFonts w:cstheme="minorHAnsi"/>
          <w:b/>
          <w:sz w:val="24"/>
          <w:szCs w:val="24"/>
        </w:rPr>
        <w:t>.</w:t>
      </w:r>
    </w:p>
    <w:p w14:paraId="47F0EFFE" w14:textId="4F115705" w:rsidR="000424AA" w:rsidRDefault="003A5CAA" w:rsidP="00444B35">
      <w:pPr>
        <w:pStyle w:val="Tekstkomentarza"/>
        <w:spacing w:after="120" w:line="276" w:lineRule="auto"/>
        <w:rPr>
          <w:rFonts w:cstheme="minorHAnsi"/>
          <w:sz w:val="24"/>
          <w:szCs w:val="24"/>
        </w:rPr>
      </w:pPr>
      <w:r>
        <w:rPr>
          <w:rFonts w:cstheme="minorHAnsi"/>
          <w:sz w:val="24"/>
          <w:szCs w:val="24"/>
        </w:rPr>
        <w:lastRenderedPageBreak/>
        <w:t>Jednocześnie m</w:t>
      </w:r>
      <w:r w:rsidR="00E85C4E" w:rsidRPr="00762814">
        <w:rPr>
          <w:rFonts w:cstheme="minorHAnsi"/>
          <w:sz w:val="24"/>
          <w:szCs w:val="24"/>
        </w:rPr>
        <w:t>aksymaln</w:t>
      </w:r>
      <w:r w:rsidR="009B7BC0" w:rsidRPr="00762814">
        <w:rPr>
          <w:rFonts w:cstheme="minorHAnsi"/>
          <w:sz w:val="24"/>
          <w:szCs w:val="24"/>
        </w:rPr>
        <w:t>e progi</w:t>
      </w:r>
      <w:r w:rsidR="00E85C4E" w:rsidRPr="00762814">
        <w:rPr>
          <w:rFonts w:cstheme="minorHAnsi"/>
          <w:sz w:val="24"/>
          <w:szCs w:val="24"/>
        </w:rPr>
        <w:t xml:space="preserve"> wartoś</w:t>
      </w:r>
      <w:r w:rsidR="00CB7E32" w:rsidRPr="00762814">
        <w:rPr>
          <w:rFonts w:cstheme="minorHAnsi"/>
          <w:sz w:val="24"/>
          <w:szCs w:val="24"/>
        </w:rPr>
        <w:t>ci</w:t>
      </w:r>
      <w:r w:rsidR="00E85C4E" w:rsidRPr="00762814">
        <w:rPr>
          <w:rFonts w:cstheme="minorHAnsi"/>
          <w:sz w:val="24"/>
          <w:szCs w:val="24"/>
        </w:rPr>
        <w:t xml:space="preserve"> </w:t>
      </w:r>
      <w:r w:rsidR="009B7BC0" w:rsidRPr="00762814">
        <w:rPr>
          <w:rFonts w:cstheme="minorHAnsi"/>
          <w:sz w:val="24"/>
          <w:szCs w:val="24"/>
        </w:rPr>
        <w:t xml:space="preserve">dofinansowania </w:t>
      </w:r>
      <w:r w:rsidR="00780D28" w:rsidRPr="00762814">
        <w:rPr>
          <w:rFonts w:cstheme="minorHAnsi"/>
          <w:sz w:val="24"/>
          <w:szCs w:val="24"/>
        </w:rPr>
        <w:t xml:space="preserve">i </w:t>
      </w:r>
      <w:r w:rsidR="009B7BC0" w:rsidRPr="00762814">
        <w:rPr>
          <w:rFonts w:cstheme="minorHAnsi"/>
          <w:sz w:val="24"/>
          <w:szCs w:val="24"/>
        </w:rPr>
        <w:t>jej</w:t>
      </w:r>
      <w:r w:rsidR="00E85C4E" w:rsidRPr="00762814">
        <w:rPr>
          <w:rFonts w:cstheme="minorHAnsi"/>
          <w:sz w:val="24"/>
          <w:szCs w:val="24"/>
        </w:rPr>
        <w:t xml:space="preserve"> intensywnoś</w:t>
      </w:r>
      <w:r w:rsidR="009B7BC0" w:rsidRPr="00762814">
        <w:rPr>
          <w:rFonts w:cstheme="minorHAnsi"/>
          <w:sz w:val="24"/>
          <w:szCs w:val="24"/>
        </w:rPr>
        <w:t>ci</w:t>
      </w:r>
      <w:r w:rsidR="00A32109" w:rsidRPr="00762814">
        <w:rPr>
          <w:rFonts w:cstheme="minorHAnsi"/>
          <w:sz w:val="24"/>
          <w:szCs w:val="24"/>
        </w:rPr>
        <w:t xml:space="preserve"> </w:t>
      </w:r>
      <w:r w:rsidR="00C1195C" w:rsidRPr="00762814">
        <w:rPr>
          <w:rFonts w:cstheme="minorHAnsi"/>
          <w:sz w:val="24"/>
          <w:szCs w:val="24"/>
        </w:rPr>
        <w:t xml:space="preserve">oraz rodzaje </w:t>
      </w:r>
      <w:r w:rsidR="00725C40" w:rsidRPr="00762814">
        <w:rPr>
          <w:rFonts w:cstheme="minorHAnsi"/>
          <w:sz w:val="24"/>
          <w:szCs w:val="24"/>
        </w:rPr>
        <w:t xml:space="preserve">wydatków </w:t>
      </w:r>
      <w:r w:rsidR="00C1195C" w:rsidRPr="00762814">
        <w:rPr>
          <w:rFonts w:cstheme="minorHAnsi"/>
          <w:sz w:val="24"/>
          <w:szCs w:val="24"/>
        </w:rPr>
        <w:t>kwalifikowa</w:t>
      </w:r>
      <w:r w:rsidR="000B17FE" w:rsidRPr="00762814">
        <w:rPr>
          <w:rFonts w:cstheme="minorHAnsi"/>
          <w:sz w:val="24"/>
          <w:szCs w:val="24"/>
        </w:rPr>
        <w:t>l</w:t>
      </w:r>
      <w:r w:rsidR="00C1195C" w:rsidRPr="00762814">
        <w:rPr>
          <w:rFonts w:cstheme="minorHAnsi"/>
          <w:sz w:val="24"/>
          <w:szCs w:val="24"/>
        </w:rPr>
        <w:t xml:space="preserve">nych </w:t>
      </w:r>
      <w:r>
        <w:rPr>
          <w:rFonts w:cstheme="minorHAnsi"/>
          <w:sz w:val="24"/>
          <w:szCs w:val="24"/>
        </w:rPr>
        <w:t>muszą być zgodne z</w:t>
      </w:r>
      <w:r w:rsidR="00C1195C" w:rsidRPr="00762814">
        <w:rPr>
          <w:rFonts w:cstheme="minorHAnsi"/>
          <w:sz w:val="24"/>
          <w:szCs w:val="24"/>
        </w:rPr>
        <w:t xml:space="preserve"> </w:t>
      </w:r>
      <w:r w:rsidR="00554642" w:rsidRPr="00762814">
        <w:rPr>
          <w:rFonts w:cstheme="minorHAnsi"/>
          <w:sz w:val="24"/>
          <w:szCs w:val="24"/>
        </w:rPr>
        <w:t>zasad</w:t>
      </w:r>
      <w:r>
        <w:rPr>
          <w:rFonts w:cstheme="minorHAnsi"/>
          <w:sz w:val="24"/>
          <w:szCs w:val="24"/>
        </w:rPr>
        <w:t>ami</w:t>
      </w:r>
      <w:r w:rsidR="00554642" w:rsidRPr="00762814">
        <w:rPr>
          <w:rFonts w:cstheme="minorHAnsi"/>
          <w:sz w:val="24"/>
          <w:szCs w:val="24"/>
        </w:rPr>
        <w:t xml:space="preserve"> udzielania pomocy publicznej uregulowany</w:t>
      </w:r>
      <w:r>
        <w:rPr>
          <w:rFonts w:cstheme="minorHAnsi"/>
          <w:sz w:val="24"/>
          <w:szCs w:val="24"/>
        </w:rPr>
        <w:t>mi</w:t>
      </w:r>
      <w:r w:rsidR="00554642" w:rsidRPr="00762814">
        <w:rPr>
          <w:rFonts w:cstheme="minorHAnsi"/>
          <w:sz w:val="24"/>
          <w:szCs w:val="24"/>
        </w:rPr>
        <w:t xml:space="preserve"> w </w:t>
      </w:r>
      <w:r w:rsidR="006433D3" w:rsidRPr="00762814">
        <w:rPr>
          <w:rFonts w:cstheme="minorHAnsi"/>
          <w:sz w:val="24"/>
          <w:szCs w:val="24"/>
        </w:rPr>
        <w:t>r</w:t>
      </w:r>
      <w:r w:rsidR="00C1195C" w:rsidRPr="00762814">
        <w:rPr>
          <w:rFonts w:cstheme="minorHAnsi"/>
          <w:sz w:val="24"/>
          <w:szCs w:val="24"/>
        </w:rPr>
        <w:t>ozporządzeni</w:t>
      </w:r>
      <w:r w:rsidR="00554642" w:rsidRPr="00762814">
        <w:rPr>
          <w:rFonts w:cstheme="minorHAnsi"/>
          <w:sz w:val="24"/>
          <w:szCs w:val="24"/>
        </w:rPr>
        <w:t>u</w:t>
      </w:r>
      <w:r w:rsidR="00C1195C" w:rsidRPr="00762814">
        <w:rPr>
          <w:rFonts w:cstheme="minorHAnsi"/>
          <w:sz w:val="24"/>
          <w:szCs w:val="24"/>
        </w:rPr>
        <w:t xml:space="preserve"> K</w:t>
      </w:r>
      <w:r w:rsidR="004250D9" w:rsidRPr="00762814">
        <w:rPr>
          <w:rFonts w:cstheme="minorHAnsi"/>
          <w:sz w:val="24"/>
          <w:szCs w:val="24"/>
        </w:rPr>
        <w:t>omisji (U</w:t>
      </w:r>
      <w:r w:rsidR="00C1195C" w:rsidRPr="00762814">
        <w:rPr>
          <w:rFonts w:cstheme="minorHAnsi"/>
          <w:sz w:val="24"/>
          <w:szCs w:val="24"/>
        </w:rPr>
        <w:t>E</w:t>
      </w:r>
      <w:r w:rsidR="004250D9" w:rsidRPr="00762814">
        <w:rPr>
          <w:rFonts w:cstheme="minorHAnsi"/>
          <w:sz w:val="24"/>
          <w:szCs w:val="24"/>
        </w:rPr>
        <w:t>)</w:t>
      </w:r>
      <w:r w:rsidR="00C1195C" w:rsidRPr="00762814">
        <w:rPr>
          <w:rFonts w:cstheme="minorHAnsi"/>
          <w:sz w:val="24"/>
          <w:szCs w:val="24"/>
        </w:rPr>
        <w:t xml:space="preserve"> </w:t>
      </w:r>
      <w:r w:rsidR="00CB7E32" w:rsidRPr="00762814">
        <w:rPr>
          <w:rFonts w:cstheme="minorHAnsi"/>
          <w:sz w:val="24"/>
          <w:szCs w:val="24"/>
        </w:rPr>
        <w:t xml:space="preserve">nr </w:t>
      </w:r>
      <w:r w:rsidR="00C1195C" w:rsidRPr="00762814">
        <w:rPr>
          <w:rFonts w:cstheme="minorHAnsi"/>
          <w:sz w:val="24"/>
          <w:szCs w:val="24"/>
        </w:rPr>
        <w:t>651/2014</w:t>
      </w:r>
      <w:r w:rsidR="00E85C4E" w:rsidRPr="00762814">
        <w:rPr>
          <w:rFonts w:cstheme="minorHAnsi"/>
          <w:sz w:val="24"/>
          <w:szCs w:val="24"/>
        </w:rPr>
        <w:t xml:space="preserve"> </w:t>
      </w:r>
      <w:r w:rsidR="00B43CF2" w:rsidRPr="00762814">
        <w:rPr>
          <w:rFonts w:cstheme="minorHAnsi"/>
          <w:sz w:val="24"/>
          <w:szCs w:val="24"/>
        </w:rPr>
        <w:t xml:space="preserve">z dnia 17 czerwca 2014 r. uznającym niektóre rodzaje pomocy za zgodne z rynkiem wewnętrznym w </w:t>
      </w:r>
      <w:r w:rsidR="002E6ED4">
        <w:rPr>
          <w:rFonts w:cstheme="minorHAnsi"/>
          <w:sz w:val="24"/>
          <w:szCs w:val="24"/>
        </w:rPr>
        <w:t>za</w:t>
      </w:r>
      <w:r w:rsidR="00B43CF2" w:rsidRPr="00762814">
        <w:rPr>
          <w:rFonts w:cstheme="minorHAnsi"/>
          <w:sz w:val="24"/>
          <w:szCs w:val="24"/>
        </w:rPr>
        <w:t xml:space="preserve">stosowaniu art. 107 i 108 Traktatu </w:t>
      </w:r>
      <w:r w:rsidR="00C30B0D">
        <w:rPr>
          <w:rFonts w:cstheme="minorHAnsi"/>
          <w:sz w:val="24"/>
          <w:szCs w:val="24"/>
        </w:rPr>
        <w:t>(</w:t>
      </w:r>
      <w:r w:rsidR="00C30590" w:rsidRPr="00C30590">
        <w:rPr>
          <w:rFonts w:cstheme="minorHAnsi"/>
          <w:sz w:val="24"/>
          <w:szCs w:val="24"/>
        </w:rPr>
        <w:t>Dz.</w:t>
      </w:r>
      <w:r w:rsidR="00B926AC">
        <w:rPr>
          <w:rFonts w:cstheme="minorHAnsi"/>
          <w:sz w:val="24"/>
          <w:szCs w:val="24"/>
        </w:rPr>
        <w:t> </w:t>
      </w:r>
      <w:r w:rsidR="00C30590" w:rsidRPr="00C30590">
        <w:rPr>
          <w:rFonts w:cstheme="minorHAnsi"/>
          <w:sz w:val="24"/>
          <w:szCs w:val="24"/>
        </w:rPr>
        <w:t>U</w:t>
      </w:r>
      <w:r w:rsidR="00B926AC">
        <w:rPr>
          <w:rFonts w:cstheme="minorHAnsi"/>
          <w:sz w:val="24"/>
          <w:szCs w:val="24"/>
        </w:rPr>
        <w:t>rz</w:t>
      </w:r>
      <w:r w:rsidR="00C30590" w:rsidRPr="00C30590">
        <w:rPr>
          <w:rFonts w:cstheme="minorHAnsi"/>
          <w:sz w:val="24"/>
          <w:szCs w:val="24"/>
        </w:rPr>
        <w:t xml:space="preserve">. </w:t>
      </w:r>
      <w:r w:rsidR="00B926AC">
        <w:rPr>
          <w:rFonts w:cstheme="minorHAnsi"/>
          <w:sz w:val="24"/>
          <w:szCs w:val="24"/>
        </w:rPr>
        <w:t xml:space="preserve">UE </w:t>
      </w:r>
      <w:r w:rsidR="00C30590" w:rsidRPr="00C30590">
        <w:rPr>
          <w:rFonts w:cstheme="minorHAnsi"/>
          <w:sz w:val="24"/>
          <w:szCs w:val="24"/>
        </w:rPr>
        <w:t xml:space="preserve">L 187 z </w:t>
      </w:r>
      <w:r w:rsidR="00B926AC" w:rsidRPr="00B926AC">
        <w:rPr>
          <w:rFonts w:cstheme="minorHAnsi"/>
          <w:sz w:val="24"/>
          <w:szCs w:val="24"/>
        </w:rPr>
        <w:t>26.6.</w:t>
      </w:r>
      <w:r w:rsidR="00C30590" w:rsidRPr="00C30590">
        <w:rPr>
          <w:rFonts w:cstheme="minorHAnsi"/>
          <w:sz w:val="24"/>
          <w:szCs w:val="24"/>
        </w:rPr>
        <w:t>2014, s. 1</w:t>
      </w:r>
      <w:r w:rsidR="00C30590">
        <w:rPr>
          <w:rFonts w:cstheme="minorHAnsi"/>
          <w:sz w:val="24"/>
          <w:szCs w:val="24"/>
        </w:rPr>
        <w:t xml:space="preserve">, </w:t>
      </w:r>
      <w:r w:rsidR="00C30B0D">
        <w:rPr>
          <w:rFonts w:cstheme="minorHAnsi"/>
          <w:sz w:val="24"/>
          <w:szCs w:val="24"/>
        </w:rPr>
        <w:t xml:space="preserve">z </w:t>
      </w:r>
      <w:proofErr w:type="spellStart"/>
      <w:r w:rsidR="00C30B0D">
        <w:rPr>
          <w:rFonts w:cstheme="minorHAnsi"/>
          <w:sz w:val="24"/>
          <w:szCs w:val="24"/>
        </w:rPr>
        <w:t>późn</w:t>
      </w:r>
      <w:proofErr w:type="spellEnd"/>
      <w:r w:rsidR="00C30B0D">
        <w:rPr>
          <w:rFonts w:cstheme="minorHAnsi"/>
          <w:sz w:val="24"/>
          <w:szCs w:val="24"/>
        </w:rPr>
        <w:t xml:space="preserve">. zm.) </w:t>
      </w:r>
      <w:r w:rsidR="00592079" w:rsidRPr="00762814">
        <w:rPr>
          <w:rFonts w:cstheme="minorHAnsi"/>
          <w:sz w:val="24"/>
          <w:szCs w:val="24"/>
        </w:rPr>
        <w:t>(</w:t>
      </w:r>
      <w:r w:rsidR="00217439" w:rsidRPr="00762814">
        <w:rPr>
          <w:rFonts w:cstheme="minorHAnsi"/>
          <w:sz w:val="24"/>
          <w:szCs w:val="24"/>
        </w:rPr>
        <w:t>dalej:</w:t>
      </w:r>
      <w:r w:rsidR="00554642" w:rsidRPr="00762814">
        <w:rPr>
          <w:rFonts w:cstheme="minorHAnsi"/>
          <w:sz w:val="24"/>
          <w:szCs w:val="24"/>
        </w:rPr>
        <w:t xml:space="preserve"> </w:t>
      </w:r>
      <w:bookmarkStart w:id="6" w:name="_Hlk122352104"/>
      <w:r w:rsidR="006433D3" w:rsidRPr="00762814">
        <w:rPr>
          <w:rFonts w:cstheme="minorHAnsi"/>
          <w:b/>
          <w:bCs/>
          <w:sz w:val="24"/>
          <w:szCs w:val="24"/>
        </w:rPr>
        <w:t>r</w:t>
      </w:r>
      <w:r w:rsidR="00554642" w:rsidRPr="00762814">
        <w:rPr>
          <w:rFonts w:cstheme="minorHAnsi"/>
          <w:b/>
          <w:bCs/>
          <w:sz w:val="24"/>
          <w:szCs w:val="24"/>
        </w:rPr>
        <w:t xml:space="preserve">ozporządzenie </w:t>
      </w:r>
      <w:r w:rsidR="004250D9" w:rsidRPr="00762814">
        <w:rPr>
          <w:rFonts w:cstheme="minorHAnsi"/>
          <w:b/>
          <w:bCs/>
          <w:sz w:val="24"/>
          <w:szCs w:val="24"/>
        </w:rPr>
        <w:t xml:space="preserve">Komisji (UE) nr </w:t>
      </w:r>
      <w:r w:rsidR="00554642" w:rsidRPr="00762814">
        <w:rPr>
          <w:rFonts w:cstheme="minorHAnsi"/>
          <w:b/>
          <w:bCs/>
          <w:sz w:val="24"/>
          <w:szCs w:val="24"/>
        </w:rPr>
        <w:t>651/2014</w:t>
      </w:r>
      <w:bookmarkEnd w:id="6"/>
      <w:r w:rsidR="00554642" w:rsidRPr="00762814">
        <w:rPr>
          <w:rFonts w:cstheme="minorHAnsi"/>
          <w:sz w:val="24"/>
          <w:szCs w:val="24"/>
        </w:rPr>
        <w:t xml:space="preserve">) </w:t>
      </w:r>
      <w:r w:rsidR="00E85C4E" w:rsidRPr="00762814">
        <w:rPr>
          <w:rFonts w:cstheme="minorHAnsi"/>
          <w:sz w:val="24"/>
          <w:szCs w:val="24"/>
        </w:rPr>
        <w:t xml:space="preserve">oraz </w:t>
      </w:r>
      <w:r w:rsidR="00554642" w:rsidRPr="00762814">
        <w:rPr>
          <w:rFonts w:cstheme="minorHAnsi"/>
          <w:sz w:val="24"/>
          <w:szCs w:val="24"/>
        </w:rPr>
        <w:t>zasad</w:t>
      </w:r>
      <w:r>
        <w:rPr>
          <w:rFonts w:cstheme="minorHAnsi"/>
          <w:sz w:val="24"/>
          <w:szCs w:val="24"/>
        </w:rPr>
        <w:t>ami</w:t>
      </w:r>
      <w:r w:rsidR="00554642" w:rsidRPr="00762814">
        <w:rPr>
          <w:rFonts w:cstheme="minorHAnsi"/>
          <w:sz w:val="24"/>
          <w:szCs w:val="24"/>
        </w:rPr>
        <w:t xml:space="preserve"> udzielania pomocy </w:t>
      </w:r>
      <w:r w:rsidR="00554642" w:rsidRPr="00762814">
        <w:rPr>
          <w:rFonts w:cstheme="minorHAnsi"/>
          <w:i/>
          <w:sz w:val="24"/>
          <w:szCs w:val="24"/>
        </w:rPr>
        <w:t xml:space="preserve">de </w:t>
      </w:r>
      <w:proofErr w:type="spellStart"/>
      <w:r w:rsidR="00554642" w:rsidRPr="00762814">
        <w:rPr>
          <w:rFonts w:cstheme="minorHAnsi"/>
          <w:i/>
          <w:sz w:val="24"/>
          <w:szCs w:val="24"/>
        </w:rPr>
        <w:t>minimis</w:t>
      </w:r>
      <w:proofErr w:type="spellEnd"/>
      <w:r w:rsidR="00554642" w:rsidRPr="00762814">
        <w:rPr>
          <w:rFonts w:cstheme="minorHAnsi"/>
          <w:sz w:val="24"/>
          <w:szCs w:val="24"/>
        </w:rPr>
        <w:t xml:space="preserve"> uregulowany</w:t>
      </w:r>
      <w:r w:rsidR="006C2EB4">
        <w:rPr>
          <w:rFonts w:cstheme="minorHAnsi"/>
          <w:sz w:val="24"/>
          <w:szCs w:val="24"/>
        </w:rPr>
        <w:t>mi</w:t>
      </w:r>
      <w:r w:rsidR="00554642" w:rsidRPr="00762814">
        <w:rPr>
          <w:rFonts w:cstheme="minorHAnsi"/>
          <w:sz w:val="24"/>
          <w:szCs w:val="24"/>
        </w:rPr>
        <w:t xml:space="preserve"> w </w:t>
      </w:r>
      <w:r w:rsidR="00B926AC" w:rsidRPr="00762814">
        <w:rPr>
          <w:rFonts w:cstheme="minorHAnsi"/>
          <w:sz w:val="24"/>
          <w:szCs w:val="24"/>
        </w:rPr>
        <w:t>r</w:t>
      </w:r>
      <w:r w:rsidR="00E85C4E" w:rsidRPr="00762814">
        <w:rPr>
          <w:rFonts w:cstheme="minorHAnsi"/>
          <w:sz w:val="24"/>
          <w:szCs w:val="24"/>
        </w:rPr>
        <w:t>ozporządzeni</w:t>
      </w:r>
      <w:r w:rsidR="00554642" w:rsidRPr="00762814">
        <w:rPr>
          <w:rFonts w:cstheme="minorHAnsi"/>
          <w:sz w:val="24"/>
          <w:szCs w:val="24"/>
        </w:rPr>
        <w:t>u</w:t>
      </w:r>
      <w:r w:rsidR="00E85C4E" w:rsidRPr="00762814">
        <w:rPr>
          <w:rFonts w:cstheme="minorHAnsi"/>
          <w:sz w:val="24"/>
          <w:szCs w:val="24"/>
        </w:rPr>
        <w:t xml:space="preserve"> Komisji (UE) </w:t>
      </w:r>
      <w:r w:rsidR="00A91391">
        <w:rPr>
          <w:rFonts w:cstheme="minorHAnsi"/>
          <w:sz w:val="24"/>
          <w:szCs w:val="24"/>
        </w:rPr>
        <w:t>2023</w:t>
      </w:r>
      <w:r w:rsidR="00E85C4E" w:rsidRPr="00762814">
        <w:rPr>
          <w:rFonts w:cstheme="minorHAnsi"/>
          <w:sz w:val="24"/>
          <w:szCs w:val="24"/>
        </w:rPr>
        <w:t>/</w:t>
      </w:r>
      <w:r w:rsidR="00A91391">
        <w:rPr>
          <w:rFonts w:cstheme="minorHAnsi"/>
          <w:sz w:val="24"/>
          <w:szCs w:val="24"/>
        </w:rPr>
        <w:t>2831</w:t>
      </w:r>
      <w:r w:rsidR="00A91391" w:rsidRPr="00762814">
        <w:rPr>
          <w:rFonts w:cstheme="minorHAnsi"/>
          <w:sz w:val="24"/>
          <w:szCs w:val="24"/>
        </w:rPr>
        <w:t xml:space="preserve"> </w:t>
      </w:r>
      <w:r w:rsidR="00A32109" w:rsidRPr="00762814">
        <w:rPr>
          <w:rFonts w:cstheme="minorHAnsi"/>
          <w:sz w:val="24"/>
          <w:szCs w:val="24"/>
        </w:rPr>
        <w:t xml:space="preserve">z dnia </w:t>
      </w:r>
      <w:r w:rsidR="00A91391">
        <w:rPr>
          <w:rFonts w:cstheme="minorHAnsi"/>
          <w:sz w:val="24"/>
          <w:szCs w:val="24"/>
        </w:rPr>
        <w:t>13</w:t>
      </w:r>
      <w:r w:rsidR="00A91391" w:rsidRPr="00762814">
        <w:rPr>
          <w:rFonts w:cstheme="minorHAnsi"/>
          <w:sz w:val="24"/>
          <w:szCs w:val="24"/>
        </w:rPr>
        <w:t xml:space="preserve"> </w:t>
      </w:r>
      <w:r w:rsidR="00A32109" w:rsidRPr="00762814">
        <w:rPr>
          <w:rFonts w:cstheme="minorHAnsi"/>
          <w:sz w:val="24"/>
          <w:szCs w:val="24"/>
        </w:rPr>
        <w:t xml:space="preserve">grudnia </w:t>
      </w:r>
      <w:r w:rsidR="00A91391">
        <w:rPr>
          <w:rFonts w:cstheme="minorHAnsi"/>
          <w:sz w:val="24"/>
          <w:szCs w:val="24"/>
        </w:rPr>
        <w:t>2023</w:t>
      </w:r>
      <w:r w:rsidR="00A91391" w:rsidRPr="00762814">
        <w:rPr>
          <w:rFonts w:cstheme="minorHAnsi"/>
          <w:sz w:val="24"/>
          <w:szCs w:val="24"/>
        </w:rPr>
        <w:t xml:space="preserve"> </w:t>
      </w:r>
      <w:r w:rsidR="00A32109" w:rsidRPr="00762814">
        <w:rPr>
          <w:rFonts w:cstheme="minorHAnsi"/>
          <w:sz w:val="24"/>
          <w:szCs w:val="24"/>
        </w:rPr>
        <w:t xml:space="preserve">r. w sprawie stosowania art. 107 i 108 Traktatu o funkcjonowaniu Unii Europejskiej do pomocy </w:t>
      </w:r>
      <w:r w:rsidR="00A32109" w:rsidRPr="00762814">
        <w:rPr>
          <w:rFonts w:cstheme="minorHAnsi"/>
          <w:i/>
          <w:sz w:val="24"/>
          <w:szCs w:val="24"/>
        </w:rPr>
        <w:t xml:space="preserve">de </w:t>
      </w:r>
      <w:proofErr w:type="spellStart"/>
      <w:r w:rsidR="00A32109" w:rsidRPr="00762814">
        <w:rPr>
          <w:rFonts w:cstheme="minorHAnsi"/>
          <w:i/>
          <w:sz w:val="24"/>
          <w:szCs w:val="24"/>
        </w:rPr>
        <w:t>minimis</w:t>
      </w:r>
      <w:proofErr w:type="spellEnd"/>
      <w:r w:rsidR="0014206D" w:rsidRPr="00762814">
        <w:rPr>
          <w:rFonts w:cstheme="minorHAnsi"/>
          <w:sz w:val="24"/>
          <w:szCs w:val="24"/>
        </w:rPr>
        <w:t xml:space="preserve"> </w:t>
      </w:r>
      <w:r w:rsidR="00C30B0D">
        <w:rPr>
          <w:rFonts w:cstheme="minorHAnsi"/>
          <w:sz w:val="24"/>
          <w:szCs w:val="24"/>
        </w:rPr>
        <w:t>(</w:t>
      </w:r>
      <w:r w:rsidR="00A91391" w:rsidRPr="00444B35">
        <w:rPr>
          <w:rFonts w:cstheme="minorHAnsi"/>
          <w:sz w:val="24"/>
          <w:szCs w:val="24"/>
        </w:rPr>
        <w:t>Dz.</w:t>
      </w:r>
      <w:r w:rsidR="00A91391">
        <w:rPr>
          <w:rFonts w:cstheme="minorHAnsi"/>
          <w:sz w:val="24"/>
          <w:szCs w:val="24"/>
        </w:rPr>
        <w:t xml:space="preserve"> </w:t>
      </w:r>
      <w:r w:rsidR="00A91391" w:rsidRPr="00444B35">
        <w:rPr>
          <w:rFonts w:cstheme="minorHAnsi"/>
          <w:sz w:val="24"/>
          <w:szCs w:val="24"/>
        </w:rPr>
        <w:t>U</w:t>
      </w:r>
      <w:r w:rsidR="00A91391">
        <w:rPr>
          <w:rFonts w:cstheme="minorHAnsi"/>
          <w:sz w:val="24"/>
          <w:szCs w:val="24"/>
        </w:rPr>
        <w:t>rz</w:t>
      </w:r>
      <w:r w:rsidR="00A91391" w:rsidRPr="00444B35">
        <w:rPr>
          <w:rFonts w:cstheme="minorHAnsi"/>
          <w:sz w:val="24"/>
          <w:szCs w:val="24"/>
        </w:rPr>
        <w:t>.</w:t>
      </w:r>
      <w:r w:rsidR="00A91391">
        <w:rPr>
          <w:rFonts w:cstheme="minorHAnsi"/>
          <w:sz w:val="24"/>
          <w:szCs w:val="24"/>
        </w:rPr>
        <w:t xml:space="preserve"> </w:t>
      </w:r>
      <w:r w:rsidR="00A91391" w:rsidRPr="00444B35">
        <w:rPr>
          <w:rFonts w:cstheme="minorHAnsi"/>
          <w:sz w:val="24"/>
          <w:szCs w:val="24"/>
        </w:rPr>
        <w:t>UE</w:t>
      </w:r>
      <w:r w:rsidR="00A91391">
        <w:rPr>
          <w:rFonts w:cstheme="minorHAnsi"/>
          <w:sz w:val="24"/>
          <w:szCs w:val="24"/>
        </w:rPr>
        <w:t xml:space="preserve"> </w:t>
      </w:r>
      <w:r w:rsidR="00A91391" w:rsidRPr="00444B35">
        <w:rPr>
          <w:rFonts w:cstheme="minorHAnsi"/>
          <w:sz w:val="24"/>
          <w:szCs w:val="24"/>
        </w:rPr>
        <w:t>L</w:t>
      </w:r>
      <w:r w:rsidR="006C2EB4">
        <w:rPr>
          <w:rFonts w:cstheme="minorHAnsi"/>
          <w:sz w:val="24"/>
          <w:szCs w:val="24"/>
        </w:rPr>
        <w:t xml:space="preserve"> </w:t>
      </w:r>
      <w:r w:rsidR="00B926AC">
        <w:rPr>
          <w:rFonts w:cstheme="minorHAnsi"/>
          <w:sz w:val="24"/>
          <w:szCs w:val="24"/>
        </w:rPr>
        <w:t xml:space="preserve">2023/2831 </w:t>
      </w:r>
      <w:r w:rsidR="006C2EB4">
        <w:rPr>
          <w:rFonts w:cstheme="minorHAnsi"/>
          <w:sz w:val="24"/>
          <w:szCs w:val="24"/>
        </w:rPr>
        <w:t xml:space="preserve">z </w:t>
      </w:r>
      <w:r w:rsidR="00B926AC">
        <w:rPr>
          <w:rFonts w:cstheme="minorHAnsi"/>
          <w:sz w:val="24"/>
          <w:szCs w:val="24"/>
        </w:rPr>
        <w:t>15.12.</w:t>
      </w:r>
      <w:r w:rsidR="00A91391" w:rsidRPr="00444B35">
        <w:rPr>
          <w:rFonts w:cstheme="minorHAnsi"/>
          <w:sz w:val="24"/>
          <w:szCs w:val="24"/>
        </w:rPr>
        <w:t>2023</w:t>
      </w:r>
      <w:r w:rsidR="00C30B0D">
        <w:rPr>
          <w:rFonts w:cstheme="minorHAnsi"/>
          <w:sz w:val="24"/>
          <w:szCs w:val="24"/>
        </w:rPr>
        <w:t xml:space="preserve">) </w:t>
      </w:r>
      <w:r w:rsidR="0014206D" w:rsidRPr="00762814">
        <w:rPr>
          <w:rFonts w:cstheme="minorHAnsi"/>
          <w:sz w:val="24"/>
          <w:szCs w:val="24"/>
        </w:rPr>
        <w:t xml:space="preserve">(dalej: </w:t>
      </w:r>
      <w:r w:rsidR="00A837B1">
        <w:rPr>
          <w:rFonts w:cstheme="minorHAnsi"/>
          <w:b/>
          <w:bCs/>
          <w:sz w:val="24"/>
          <w:szCs w:val="24"/>
        </w:rPr>
        <w:t>r</w:t>
      </w:r>
      <w:r w:rsidR="0014206D" w:rsidRPr="00762814">
        <w:rPr>
          <w:rFonts w:cstheme="minorHAnsi"/>
          <w:b/>
          <w:bCs/>
          <w:sz w:val="24"/>
          <w:szCs w:val="24"/>
        </w:rPr>
        <w:t xml:space="preserve">ozporządzenie </w:t>
      </w:r>
      <w:r w:rsidR="00C30590" w:rsidRPr="00C30590">
        <w:rPr>
          <w:rFonts w:cstheme="minorHAnsi"/>
          <w:b/>
          <w:bCs/>
          <w:sz w:val="24"/>
          <w:szCs w:val="24"/>
        </w:rPr>
        <w:t>Komisji (UE)</w:t>
      </w:r>
      <w:r w:rsidR="00C30590">
        <w:rPr>
          <w:rFonts w:cstheme="minorHAnsi"/>
          <w:b/>
          <w:bCs/>
          <w:sz w:val="24"/>
          <w:szCs w:val="24"/>
        </w:rPr>
        <w:t xml:space="preserve"> </w:t>
      </w:r>
      <w:r w:rsidR="00A91391">
        <w:rPr>
          <w:rFonts w:cstheme="minorHAnsi"/>
          <w:b/>
          <w:bCs/>
          <w:sz w:val="24"/>
          <w:szCs w:val="24"/>
        </w:rPr>
        <w:t>2023</w:t>
      </w:r>
      <w:r w:rsidR="00554642" w:rsidRPr="00762814">
        <w:rPr>
          <w:rFonts w:cstheme="minorHAnsi"/>
          <w:b/>
          <w:bCs/>
          <w:sz w:val="24"/>
          <w:szCs w:val="24"/>
        </w:rPr>
        <w:t>/</w:t>
      </w:r>
      <w:r w:rsidR="00A91391">
        <w:rPr>
          <w:rFonts w:cstheme="minorHAnsi"/>
          <w:b/>
          <w:bCs/>
          <w:sz w:val="24"/>
          <w:szCs w:val="24"/>
        </w:rPr>
        <w:t>2831</w:t>
      </w:r>
      <w:r w:rsidR="0014206D" w:rsidRPr="00762814">
        <w:rPr>
          <w:rFonts w:cstheme="minorHAnsi"/>
          <w:sz w:val="24"/>
          <w:szCs w:val="24"/>
        </w:rPr>
        <w:t>)</w:t>
      </w:r>
      <w:r w:rsidR="00A32109" w:rsidRPr="00762814">
        <w:rPr>
          <w:rFonts w:cstheme="minorHAnsi"/>
          <w:sz w:val="24"/>
          <w:szCs w:val="24"/>
        </w:rPr>
        <w:t>.</w:t>
      </w:r>
    </w:p>
    <w:p w14:paraId="34009BAF" w14:textId="1ADDE449" w:rsidR="00427515" w:rsidRPr="00A07610" w:rsidRDefault="00101998" w:rsidP="001A1BFB">
      <w:pPr>
        <w:pStyle w:val="Tekstkomentarza"/>
        <w:spacing w:after="120" w:line="276" w:lineRule="auto"/>
        <w:rPr>
          <w:rFonts w:cstheme="minorHAnsi"/>
          <w:sz w:val="24"/>
          <w:szCs w:val="24"/>
        </w:rPr>
      </w:pPr>
      <w:bookmarkStart w:id="7" w:name="_Hlk120197239"/>
      <w:r>
        <w:rPr>
          <w:rFonts w:cstheme="minorHAnsi"/>
          <w:b/>
          <w:bCs/>
          <w:sz w:val="24"/>
          <w:szCs w:val="24"/>
        </w:rPr>
        <w:t>W</w:t>
      </w:r>
      <w:r w:rsidR="00A023D4" w:rsidRPr="00427515">
        <w:rPr>
          <w:rFonts w:cstheme="minorHAnsi"/>
          <w:b/>
          <w:bCs/>
          <w:sz w:val="24"/>
          <w:szCs w:val="24"/>
        </w:rPr>
        <w:t>artość pomocy publicznej</w:t>
      </w:r>
      <w:r w:rsidR="00A023D4" w:rsidRPr="00427515">
        <w:rPr>
          <w:rFonts w:cstheme="minorHAnsi"/>
          <w:sz w:val="24"/>
          <w:szCs w:val="24"/>
        </w:rPr>
        <w:t xml:space="preserve"> w ramach </w:t>
      </w:r>
      <w:r w:rsidR="001A1BFB">
        <w:rPr>
          <w:rFonts w:cstheme="minorHAnsi"/>
          <w:sz w:val="24"/>
          <w:szCs w:val="24"/>
        </w:rPr>
        <w:t>niżej wymienionych</w:t>
      </w:r>
      <w:r w:rsidR="001A1BFB" w:rsidRPr="00427515">
        <w:rPr>
          <w:rFonts w:cstheme="minorHAnsi"/>
          <w:sz w:val="24"/>
          <w:szCs w:val="24"/>
        </w:rPr>
        <w:t xml:space="preserve"> </w:t>
      </w:r>
      <w:r w:rsidR="00A023D4" w:rsidRPr="00427515">
        <w:rPr>
          <w:rFonts w:cstheme="minorHAnsi"/>
          <w:sz w:val="24"/>
          <w:szCs w:val="24"/>
        </w:rPr>
        <w:t xml:space="preserve">przeznaczeń pomocy nie może </w:t>
      </w:r>
      <w:r w:rsidR="00A023D4" w:rsidRPr="00A07610">
        <w:rPr>
          <w:rFonts w:cstheme="minorHAnsi"/>
          <w:sz w:val="24"/>
          <w:szCs w:val="24"/>
        </w:rPr>
        <w:t xml:space="preserve">przekroczyć </w:t>
      </w:r>
      <w:r w:rsidR="001A1BFB" w:rsidRPr="00A07610">
        <w:rPr>
          <w:rFonts w:cstheme="minorHAnsi"/>
          <w:sz w:val="24"/>
          <w:szCs w:val="24"/>
        </w:rPr>
        <w:t>wskazanych</w:t>
      </w:r>
      <w:r w:rsidR="00EB5EDD" w:rsidRPr="00A07610">
        <w:rPr>
          <w:rFonts w:cstheme="minorHAnsi"/>
          <w:sz w:val="24"/>
          <w:szCs w:val="24"/>
        </w:rPr>
        <w:t xml:space="preserve"> </w:t>
      </w:r>
      <w:r w:rsidR="00A023D4" w:rsidRPr="00A07610">
        <w:rPr>
          <w:rFonts w:cstheme="minorHAnsi"/>
          <w:sz w:val="24"/>
          <w:szCs w:val="24"/>
        </w:rPr>
        <w:t>progów</w:t>
      </w:r>
      <w:r w:rsidRPr="00A07610">
        <w:rPr>
          <w:rStyle w:val="Odwoanieprzypisudolnego"/>
          <w:rFonts w:cstheme="minorHAnsi"/>
          <w:sz w:val="24"/>
          <w:szCs w:val="24"/>
        </w:rPr>
        <w:footnoteReference w:id="3"/>
      </w:r>
      <w:r w:rsidR="00573495" w:rsidRPr="00A07610">
        <w:rPr>
          <w:rFonts w:cstheme="minorHAnsi"/>
          <w:bCs/>
          <w:sz w:val="24"/>
          <w:szCs w:val="24"/>
        </w:rPr>
        <w:t>, z zastrzeżeniem</w:t>
      </w:r>
      <w:r w:rsidR="00CC71C4" w:rsidRPr="00A07610">
        <w:rPr>
          <w:rFonts w:cstheme="minorHAnsi"/>
          <w:bCs/>
          <w:sz w:val="24"/>
          <w:szCs w:val="24"/>
        </w:rPr>
        <w:t>,</w:t>
      </w:r>
      <w:r w:rsidR="00573495" w:rsidRPr="00A07610">
        <w:rPr>
          <w:rFonts w:cstheme="minorHAnsi"/>
          <w:bCs/>
          <w:sz w:val="24"/>
          <w:szCs w:val="24"/>
        </w:rPr>
        <w:t xml:space="preserve"> iż </w:t>
      </w:r>
      <w:r w:rsidR="008D6FE6" w:rsidRPr="00A07610">
        <w:rPr>
          <w:rFonts w:cstheme="minorHAnsi"/>
          <w:bCs/>
          <w:sz w:val="24"/>
          <w:szCs w:val="24"/>
        </w:rPr>
        <w:t xml:space="preserve">na etapie oceny projektu </w:t>
      </w:r>
      <w:r w:rsidR="00573495" w:rsidRPr="00A07610">
        <w:rPr>
          <w:rFonts w:cstheme="minorHAnsi"/>
          <w:bCs/>
          <w:sz w:val="24"/>
          <w:szCs w:val="24"/>
        </w:rPr>
        <w:t>nie ma możliwości zwiększenia pierwotnie wnioskowanego dofinansowania:</w:t>
      </w:r>
    </w:p>
    <w:p w14:paraId="13F46EA3" w14:textId="77777777" w:rsidR="007943D9" w:rsidRPr="00A07610" w:rsidRDefault="007943D9" w:rsidP="00941ED8">
      <w:pPr>
        <w:pStyle w:val="Akapitzlist"/>
        <w:numPr>
          <w:ilvl w:val="0"/>
          <w:numId w:val="1"/>
        </w:numPr>
        <w:spacing w:after="120" w:line="276" w:lineRule="auto"/>
        <w:ind w:left="357" w:hanging="357"/>
        <w:contextualSpacing w:val="0"/>
        <w:rPr>
          <w:rFonts w:cstheme="minorHAnsi"/>
          <w:sz w:val="24"/>
          <w:szCs w:val="24"/>
        </w:rPr>
      </w:pPr>
      <w:r w:rsidRPr="00A07610">
        <w:rPr>
          <w:rFonts w:cstheme="minorHAnsi"/>
          <w:sz w:val="24"/>
          <w:szCs w:val="24"/>
        </w:rPr>
        <w:t>regionalna pomoc inwestycyjna (art. 14)</w:t>
      </w:r>
      <w:r w:rsidRPr="00A07610">
        <w:rPr>
          <w:rFonts w:cstheme="minorHAnsi"/>
          <w:b/>
          <w:bCs/>
          <w:sz w:val="24"/>
          <w:szCs w:val="24"/>
        </w:rPr>
        <w:t>:</w:t>
      </w:r>
    </w:p>
    <w:p w14:paraId="23450DB4" w14:textId="037DC8D6" w:rsidR="007943D9" w:rsidRPr="00A07610" w:rsidRDefault="007943D9" w:rsidP="007943D9">
      <w:pPr>
        <w:pStyle w:val="Akapitzlist"/>
        <w:spacing w:after="120" w:line="276" w:lineRule="auto"/>
        <w:ind w:left="357"/>
        <w:contextualSpacing w:val="0"/>
        <w:rPr>
          <w:rFonts w:cstheme="minorHAnsi"/>
          <w:sz w:val="24"/>
          <w:szCs w:val="24"/>
        </w:rPr>
      </w:pPr>
      <w:r w:rsidRPr="00A07610">
        <w:rPr>
          <w:rFonts w:cstheme="minorHAnsi"/>
          <w:sz w:val="24"/>
          <w:szCs w:val="24"/>
        </w:rPr>
        <w:t xml:space="preserve">- </w:t>
      </w:r>
      <w:r w:rsidR="00DF1E2F" w:rsidRPr="00A07610">
        <w:rPr>
          <w:sz w:val="24"/>
          <w:szCs w:val="24"/>
        </w:rPr>
        <w:t>w przypadku dużych projektów inwestycyjnych</w:t>
      </w:r>
      <w:r w:rsidR="00DF1E2F" w:rsidRPr="00A07610">
        <w:rPr>
          <w:rStyle w:val="Odwoanieprzypisudolnego"/>
          <w:sz w:val="24"/>
          <w:szCs w:val="24"/>
        </w:rPr>
        <w:footnoteReference w:id="4"/>
      </w:r>
      <w:r w:rsidR="00DF1E2F" w:rsidRPr="00A07610">
        <w:rPr>
          <w:sz w:val="24"/>
          <w:szCs w:val="24"/>
        </w:rPr>
        <w:t xml:space="preserve"> kwota pomocy nie przekracza dostosowanej kwoty pomocy obliczonej zgodnie z mechanizmem określonym w art. 2 pkt 20 </w:t>
      </w:r>
      <w:r w:rsidR="00DD3F20" w:rsidRPr="00A07610">
        <w:rPr>
          <w:sz w:val="24"/>
          <w:szCs w:val="24"/>
        </w:rPr>
        <w:t>rozporządzenia Komisji (UE) nr 651/2014</w:t>
      </w:r>
      <w:r w:rsidR="00982E77" w:rsidRPr="00A07610">
        <w:rPr>
          <w:rFonts w:cstheme="minorHAnsi"/>
          <w:sz w:val="24"/>
          <w:szCs w:val="24"/>
        </w:rPr>
        <w:t>,</w:t>
      </w:r>
    </w:p>
    <w:p w14:paraId="2B2B657E" w14:textId="109148C8" w:rsidR="007943D9" w:rsidRPr="000A31ED" w:rsidRDefault="007943D9" w:rsidP="007943D9">
      <w:pPr>
        <w:pStyle w:val="Akapitzlist"/>
        <w:spacing w:after="120" w:line="276" w:lineRule="auto"/>
        <w:ind w:left="357"/>
        <w:contextualSpacing w:val="0"/>
        <w:rPr>
          <w:rFonts w:cstheme="minorHAnsi"/>
          <w:sz w:val="24"/>
          <w:szCs w:val="24"/>
        </w:rPr>
      </w:pPr>
      <w:r w:rsidRPr="00A07610">
        <w:rPr>
          <w:rFonts w:cstheme="minorHAnsi"/>
          <w:sz w:val="24"/>
          <w:szCs w:val="24"/>
        </w:rPr>
        <w:t>- dla inwestycji, której koszty</w:t>
      </w:r>
      <w:r w:rsidRPr="00762814">
        <w:rPr>
          <w:rFonts w:cstheme="minorHAnsi"/>
          <w:sz w:val="24"/>
          <w:szCs w:val="24"/>
        </w:rPr>
        <w:t xml:space="preserve"> kwalifikowalne wynoszą</w:t>
      </w:r>
      <w:r>
        <w:rPr>
          <w:rFonts w:cstheme="minorHAnsi"/>
          <w:sz w:val="24"/>
          <w:szCs w:val="24"/>
        </w:rPr>
        <w:t xml:space="preserve"> </w:t>
      </w:r>
      <w:r>
        <w:rPr>
          <w:rFonts w:cstheme="minorHAnsi"/>
          <w:b/>
          <w:bCs/>
          <w:sz w:val="24"/>
          <w:szCs w:val="24"/>
        </w:rPr>
        <w:t>110</w:t>
      </w:r>
      <w:r w:rsidRPr="00762814">
        <w:rPr>
          <w:rFonts w:cstheme="minorHAnsi"/>
          <w:b/>
          <w:bCs/>
          <w:sz w:val="24"/>
          <w:szCs w:val="24"/>
        </w:rPr>
        <w:t xml:space="preserve"> mln EUR</w:t>
      </w:r>
      <w:r w:rsidR="00726180" w:rsidRPr="00726180">
        <w:rPr>
          <w:rFonts w:cstheme="minorHAnsi"/>
          <w:sz w:val="24"/>
          <w:szCs w:val="24"/>
        </w:rPr>
        <w:t xml:space="preserve"> lub</w:t>
      </w:r>
      <w:r w:rsidR="00A856ED">
        <w:rPr>
          <w:rFonts w:cstheme="minorHAnsi"/>
          <w:sz w:val="24"/>
          <w:szCs w:val="24"/>
        </w:rPr>
        <w:t xml:space="preserve"> </w:t>
      </w:r>
      <w:r w:rsidR="00726180">
        <w:rPr>
          <w:rFonts w:cstheme="minorHAnsi"/>
          <w:sz w:val="24"/>
          <w:szCs w:val="24"/>
        </w:rPr>
        <w:t>więcej</w:t>
      </w:r>
      <w:r>
        <w:rPr>
          <w:rFonts w:cstheme="minorHAnsi"/>
          <w:b/>
          <w:bCs/>
          <w:sz w:val="24"/>
          <w:szCs w:val="24"/>
        </w:rPr>
        <w:t xml:space="preserve"> wartość pomocy </w:t>
      </w:r>
      <w:r w:rsidRPr="00D64749">
        <w:rPr>
          <w:rFonts w:cstheme="minorHAnsi"/>
          <w:b/>
          <w:bCs/>
          <w:sz w:val="24"/>
          <w:szCs w:val="24"/>
        </w:rPr>
        <w:t>na przedsiębiorstwo na projekt inwestycyjny</w:t>
      </w:r>
      <w:r>
        <w:rPr>
          <w:rFonts w:cstheme="minorHAnsi"/>
          <w:b/>
          <w:bCs/>
          <w:sz w:val="24"/>
          <w:szCs w:val="24"/>
        </w:rPr>
        <w:t xml:space="preserve"> </w:t>
      </w:r>
      <w:r w:rsidRPr="00C30590">
        <w:rPr>
          <w:rFonts w:cstheme="minorHAnsi"/>
          <w:sz w:val="24"/>
          <w:szCs w:val="24"/>
        </w:rPr>
        <w:t>nie może przekroczyć</w:t>
      </w:r>
      <w:r w:rsidRPr="000A31ED">
        <w:rPr>
          <w:rFonts w:cstheme="minorHAnsi"/>
          <w:sz w:val="24"/>
          <w:szCs w:val="24"/>
        </w:rPr>
        <w:t>:</w:t>
      </w:r>
    </w:p>
    <w:p w14:paraId="3AE167F8" w14:textId="1FC006EF" w:rsidR="007943D9" w:rsidRPr="00B615A6" w:rsidRDefault="007943D9" w:rsidP="00941ED8">
      <w:pPr>
        <w:pStyle w:val="Akapitzlist"/>
        <w:numPr>
          <w:ilvl w:val="1"/>
          <w:numId w:val="1"/>
        </w:numPr>
        <w:spacing w:after="120" w:line="276" w:lineRule="auto"/>
        <w:rPr>
          <w:rFonts w:cstheme="minorHAnsi"/>
          <w:sz w:val="24"/>
          <w:szCs w:val="24"/>
        </w:rPr>
      </w:pPr>
      <w:r w:rsidRPr="00B615A6">
        <w:rPr>
          <w:rFonts w:cstheme="minorHAnsi"/>
          <w:sz w:val="24"/>
          <w:szCs w:val="24"/>
        </w:rPr>
        <w:t>w przypadku maksymalnej intensywności pomocy regionalnej na poziomie 15%: 12,38 mln EUR;</w:t>
      </w:r>
    </w:p>
    <w:p w14:paraId="631817EC" w14:textId="5B4F47F9" w:rsidR="007943D9" w:rsidRPr="00B615A6" w:rsidRDefault="007943D9" w:rsidP="00941ED8">
      <w:pPr>
        <w:pStyle w:val="Akapitzlist"/>
        <w:numPr>
          <w:ilvl w:val="1"/>
          <w:numId w:val="1"/>
        </w:numPr>
        <w:spacing w:after="120" w:line="276" w:lineRule="auto"/>
        <w:rPr>
          <w:rFonts w:cstheme="minorHAnsi"/>
          <w:sz w:val="24"/>
          <w:szCs w:val="24"/>
        </w:rPr>
      </w:pPr>
      <w:r w:rsidRPr="00B615A6">
        <w:rPr>
          <w:rFonts w:cstheme="minorHAnsi"/>
          <w:sz w:val="24"/>
          <w:szCs w:val="24"/>
        </w:rPr>
        <w:t>w przypadku maksymalnej intensywności pomocy regionalnej na poziomie 25%: 20,63 mln EUR;</w:t>
      </w:r>
    </w:p>
    <w:p w14:paraId="2E5A962C" w14:textId="0B88F24D" w:rsidR="007943D9" w:rsidRPr="00B615A6" w:rsidRDefault="007943D9" w:rsidP="00941ED8">
      <w:pPr>
        <w:pStyle w:val="Akapitzlist"/>
        <w:numPr>
          <w:ilvl w:val="1"/>
          <w:numId w:val="1"/>
        </w:numPr>
        <w:spacing w:after="120" w:line="276" w:lineRule="auto"/>
        <w:rPr>
          <w:rFonts w:cstheme="minorHAnsi"/>
          <w:sz w:val="24"/>
          <w:szCs w:val="24"/>
        </w:rPr>
      </w:pPr>
      <w:r w:rsidRPr="00B615A6">
        <w:rPr>
          <w:rFonts w:cstheme="minorHAnsi"/>
          <w:sz w:val="24"/>
          <w:szCs w:val="24"/>
        </w:rPr>
        <w:t>w przypadku maksymalnej intensywności pomocy regionalnej na poziomie 30%: 24,75 mln EUR;</w:t>
      </w:r>
    </w:p>
    <w:p w14:paraId="643FDCDD" w14:textId="1FC43B75" w:rsidR="007943D9" w:rsidRPr="00B615A6" w:rsidRDefault="007943D9" w:rsidP="00941ED8">
      <w:pPr>
        <w:pStyle w:val="Akapitzlist"/>
        <w:numPr>
          <w:ilvl w:val="1"/>
          <w:numId w:val="1"/>
        </w:numPr>
        <w:spacing w:after="120" w:line="276" w:lineRule="auto"/>
        <w:rPr>
          <w:rFonts w:cstheme="minorHAnsi"/>
          <w:sz w:val="24"/>
          <w:szCs w:val="24"/>
        </w:rPr>
      </w:pPr>
      <w:r w:rsidRPr="00B615A6">
        <w:rPr>
          <w:rFonts w:cstheme="minorHAnsi"/>
          <w:sz w:val="24"/>
          <w:szCs w:val="24"/>
        </w:rPr>
        <w:t>w przypadku maksymalnej intensywności pomocy regionalnej na poziomie 35%: 28,88 mln EUR;</w:t>
      </w:r>
    </w:p>
    <w:p w14:paraId="0109040C" w14:textId="4629B5EB" w:rsidR="007943D9" w:rsidRDefault="007943D9" w:rsidP="00941ED8">
      <w:pPr>
        <w:pStyle w:val="Akapitzlist"/>
        <w:numPr>
          <w:ilvl w:val="1"/>
          <w:numId w:val="1"/>
        </w:numPr>
        <w:spacing w:after="120" w:line="276" w:lineRule="auto"/>
        <w:rPr>
          <w:rFonts w:cstheme="minorHAnsi"/>
          <w:sz w:val="24"/>
          <w:szCs w:val="24"/>
        </w:rPr>
      </w:pPr>
      <w:r w:rsidRPr="00B615A6">
        <w:rPr>
          <w:rFonts w:cstheme="minorHAnsi"/>
          <w:sz w:val="24"/>
          <w:szCs w:val="24"/>
        </w:rPr>
        <w:t>w przypadku maksymalnej intensywności pomocy regionalnej na poziomie 40%: 33 mln EUR;</w:t>
      </w:r>
    </w:p>
    <w:p w14:paraId="51ECFA34" w14:textId="276BBBB8" w:rsidR="007943D9" w:rsidRPr="00D22EDD" w:rsidRDefault="007943D9" w:rsidP="00941ED8">
      <w:pPr>
        <w:pStyle w:val="Akapitzlist"/>
        <w:numPr>
          <w:ilvl w:val="1"/>
          <w:numId w:val="1"/>
        </w:numPr>
        <w:spacing w:after="120" w:line="276" w:lineRule="auto"/>
        <w:rPr>
          <w:rFonts w:cstheme="minorHAnsi"/>
          <w:sz w:val="24"/>
          <w:szCs w:val="24"/>
        </w:rPr>
      </w:pPr>
      <w:r w:rsidRPr="00D22EDD">
        <w:rPr>
          <w:rFonts w:cstheme="minorHAnsi"/>
          <w:sz w:val="24"/>
          <w:szCs w:val="24"/>
        </w:rPr>
        <w:t>w przypadku maksymalnej intensywności pomocy regionalnej na poziomie 50%: 41,25 mln EUR;</w:t>
      </w:r>
    </w:p>
    <w:p w14:paraId="0B477F6D" w14:textId="77777777" w:rsidR="007943D9" w:rsidRPr="00762814" w:rsidRDefault="007943D9" w:rsidP="00941ED8">
      <w:pPr>
        <w:pStyle w:val="Akapitzlist"/>
        <w:numPr>
          <w:ilvl w:val="0"/>
          <w:numId w:val="1"/>
        </w:numPr>
        <w:spacing w:after="120" w:line="276" w:lineRule="auto"/>
        <w:ind w:left="357" w:hanging="357"/>
        <w:contextualSpacing w:val="0"/>
        <w:rPr>
          <w:rFonts w:cstheme="minorHAnsi"/>
          <w:b/>
          <w:bCs/>
          <w:sz w:val="24"/>
          <w:szCs w:val="24"/>
        </w:rPr>
      </w:pPr>
      <w:r w:rsidRPr="00762814">
        <w:rPr>
          <w:rFonts w:cstheme="minorHAnsi"/>
          <w:sz w:val="24"/>
          <w:szCs w:val="24"/>
        </w:rPr>
        <w:t xml:space="preserve">pomoc na usługi doradcze na rzecz MŚP (art. 18): </w:t>
      </w:r>
      <w:r w:rsidRPr="00762814">
        <w:rPr>
          <w:rFonts w:cstheme="minorHAnsi"/>
          <w:b/>
          <w:bCs/>
          <w:sz w:val="24"/>
          <w:szCs w:val="24"/>
        </w:rPr>
        <w:t>2</w:t>
      </w:r>
      <w:r>
        <w:rPr>
          <w:rFonts w:cstheme="minorHAnsi"/>
          <w:b/>
          <w:bCs/>
          <w:sz w:val="24"/>
          <w:szCs w:val="24"/>
        </w:rPr>
        <w:t>,2</w:t>
      </w:r>
      <w:r w:rsidRPr="00762814">
        <w:rPr>
          <w:rFonts w:cstheme="minorHAnsi"/>
          <w:b/>
          <w:bCs/>
          <w:sz w:val="24"/>
          <w:szCs w:val="24"/>
        </w:rPr>
        <w:t xml:space="preserve"> mln EUR</w:t>
      </w:r>
      <w:r w:rsidRPr="00FE611A">
        <w:t xml:space="preserve"> </w:t>
      </w:r>
      <w:r w:rsidRPr="00FE611A">
        <w:rPr>
          <w:rFonts w:cstheme="minorHAnsi"/>
          <w:sz w:val="24"/>
          <w:szCs w:val="24"/>
        </w:rPr>
        <w:t>na przedsiębiorstwo i na projekt</w:t>
      </w:r>
      <w:r w:rsidRPr="00D22EDD">
        <w:rPr>
          <w:sz w:val="24"/>
        </w:rPr>
        <w:t>;</w:t>
      </w:r>
    </w:p>
    <w:p w14:paraId="3771D275" w14:textId="77777777" w:rsidR="007943D9" w:rsidRPr="00762814" w:rsidRDefault="007943D9" w:rsidP="00941ED8">
      <w:pPr>
        <w:pStyle w:val="Akapitzlist"/>
        <w:numPr>
          <w:ilvl w:val="0"/>
          <w:numId w:val="1"/>
        </w:numPr>
        <w:spacing w:after="120" w:line="276" w:lineRule="auto"/>
        <w:contextualSpacing w:val="0"/>
        <w:rPr>
          <w:rFonts w:cstheme="minorHAnsi"/>
          <w:sz w:val="24"/>
          <w:szCs w:val="24"/>
        </w:rPr>
      </w:pPr>
      <w:r w:rsidRPr="00762814">
        <w:rPr>
          <w:rFonts w:cstheme="minorHAnsi"/>
          <w:sz w:val="24"/>
          <w:szCs w:val="24"/>
        </w:rPr>
        <w:lastRenderedPageBreak/>
        <w:t xml:space="preserve">pomoc dla MŚP na wspieranie innowacyjności (art. 28): </w:t>
      </w:r>
      <w:r>
        <w:rPr>
          <w:rFonts w:cstheme="minorHAnsi"/>
          <w:b/>
          <w:bCs/>
          <w:sz w:val="24"/>
          <w:szCs w:val="24"/>
        </w:rPr>
        <w:t>10</w:t>
      </w:r>
      <w:r w:rsidRPr="00762814">
        <w:rPr>
          <w:rFonts w:cstheme="minorHAnsi"/>
          <w:b/>
          <w:bCs/>
          <w:sz w:val="24"/>
          <w:szCs w:val="24"/>
        </w:rPr>
        <w:t xml:space="preserve"> mln EUR</w:t>
      </w:r>
      <w:r w:rsidRPr="003850A5">
        <w:t xml:space="preserve"> </w:t>
      </w:r>
      <w:r w:rsidRPr="003F4E1F">
        <w:rPr>
          <w:rFonts w:cstheme="minorHAnsi"/>
          <w:sz w:val="24"/>
          <w:szCs w:val="24"/>
        </w:rPr>
        <w:t>na przedsiębiorstwo i na projekt</w:t>
      </w:r>
      <w:r w:rsidRPr="00D22EDD">
        <w:rPr>
          <w:sz w:val="24"/>
        </w:rPr>
        <w:t>;</w:t>
      </w:r>
      <w:r w:rsidRPr="00762814">
        <w:rPr>
          <w:rFonts w:cstheme="minorHAnsi"/>
          <w:sz w:val="24"/>
          <w:szCs w:val="24"/>
        </w:rPr>
        <w:t xml:space="preserve"> </w:t>
      </w:r>
    </w:p>
    <w:p w14:paraId="24A3B1D1" w14:textId="77777777" w:rsidR="007943D9" w:rsidRPr="00762814" w:rsidRDefault="007943D9" w:rsidP="00941ED8">
      <w:pPr>
        <w:pStyle w:val="Akapitzlist"/>
        <w:numPr>
          <w:ilvl w:val="0"/>
          <w:numId w:val="1"/>
        </w:numPr>
        <w:spacing w:after="120" w:line="276" w:lineRule="auto"/>
        <w:contextualSpacing w:val="0"/>
        <w:rPr>
          <w:rFonts w:cstheme="minorHAnsi"/>
          <w:sz w:val="24"/>
          <w:szCs w:val="24"/>
        </w:rPr>
      </w:pPr>
      <w:r w:rsidRPr="00762814">
        <w:rPr>
          <w:rFonts w:cstheme="minorHAnsi"/>
          <w:sz w:val="24"/>
          <w:szCs w:val="24"/>
        </w:rPr>
        <w:t xml:space="preserve">pomoc szkoleniowa (art. 31): </w:t>
      </w:r>
      <w:r>
        <w:rPr>
          <w:rFonts w:cstheme="minorHAnsi"/>
          <w:b/>
          <w:bCs/>
          <w:sz w:val="24"/>
          <w:szCs w:val="24"/>
        </w:rPr>
        <w:t>3</w:t>
      </w:r>
      <w:r w:rsidRPr="00762814">
        <w:rPr>
          <w:rFonts w:cstheme="minorHAnsi"/>
          <w:b/>
          <w:bCs/>
          <w:sz w:val="24"/>
          <w:szCs w:val="24"/>
        </w:rPr>
        <w:t xml:space="preserve"> mln EUR</w:t>
      </w:r>
      <w:r w:rsidRPr="00B73990">
        <w:t xml:space="preserve"> </w:t>
      </w:r>
      <w:r w:rsidRPr="003F4E1F">
        <w:rPr>
          <w:rFonts w:cstheme="minorHAnsi"/>
          <w:sz w:val="24"/>
          <w:szCs w:val="24"/>
        </w:rPr>
        <w:t>na projekt szkoleniowy</w:t>
      </w:r>
      <w:r w:rsidRPr="00762814">
        <w:rPr>
          <w:rFonts w:cstheme="minorHAnsi"/>
          <w:b/>
          <w:bCs/>
          <w:sz w:val="24"/>
          <w:szCs w:val="24"/>
        </w:rPr>
        <w:t>;</w:t>
      </w:r>
    </w:p>
    <w:p w14:paraId="36E95433" w14:textId="77777777" w:rsidR="007943D9" w:rsidRPr="00762814" w:rsidRDefault="007943D9" w:rsidP="00941ED8">
      <w:pPr>
        <w:pStyle w:val="Akapitzlist"/>
        <w:numPr>
          <w:ilvl w:val="0"/>
          <w:numId w:val="1"/>
        </w:numPr>
        <w:spacing w:after="120" w:line="276" w:lineRule="auto"/>
        <w:contextualSpacing w:val="0"/>
        <w:rPr>
          <w:rFonts w:cstheme="minorHAnsi"/>
          <w:sz w:val="24"/>
          <w:szCs w:val="24"/>
        </w:rPr>
      </w:pPr>
      <w:r w:rsidRPr="00762814">
        <w:rPr>
          <w:rFonts w:cstheme="minorHAnsi"/>
          <w:sz w:val="24"/>
          <w:szCs w:val="24"/>
        </w:rPr>
        <w:t xml:space="preserve">pomoc inwestycyjna </w:t>
      </w:r>
      <w:r w:rsidRPr="0058375B">
        <w:rPr>
          <w:rFonts w:cstheme="minorHAnsi"/>
          <w:sz w:val="24"/>
          <w:szCs w:val="24"/>
        </w:rPr>
        <w:t>na ochronę środowiska</w:t>
      </w:r>
      <w:r w:rsidRPr="0027366A">
        <w:rPr>
          <w:rFonts w:cstheme="minorHAnsi"/>
          <w:sz w:val="24"/>
          <w:szCs w:val="24"/>
        </w:rPr>
        <w:t xml:space="preserve">, w tym obniżenie emisyjności </w:t>
      </w:r>
      <w:r w:rsidRPr="00762814">
        <w:rPr>
          <w:rFonts w:cstheme="minorHAnsi"/>
          <w:sz w:val="24"/>
          <w:szCs w:val="24"/>
        </w:rPr>
        <w:t xml:space="preserve">(art. 36): </w:t>
      </w:r>
      <w:r>
        <w:rPr>
          <w:rFonts w:cstheme="minorHAnsi"/>
          <w:b/>
          <w:bCs/>
          <w:sz w:val="24"/>
          <w:szCs w:val="24"/>
        </w:rPr>
        <w:t>30</w:t>
      </w:r>
      <w:r w:rsidRPr="00762814">
        <w:rPr>
          <w:rFonts w:cstheme="minorHAnsi"/>
          <w:b/>
          <w:bCs/>
          <w:sz w:val="24"/>
          <w:szCs w:val="24"/>
        </w:rPr>
        <w:t xml:space="preserve"> mln EUR</w:t>
      </w:r>
      <w:r w:rsidRPr="00A031BB">
        <w:t xml:space="preserve"> </w:t>
      </w:r>
      <w:r w:rsidRPr="00A031BB">
        <w:rPr>
          <w:rFonts w:cstheme="minorHAnsi"/>
          <w:sz w:val="24"/>
          <w:szCs w:val="24"/>
        </w:rPr>
        <w:t>na przedsiębiorstwo na projekt inwestycyjny</w:t>
      </w:r>
      <w:r>
        <w:rPr>
          <w:rFonts w:cstheme="minorHAnsi"/>
          <w:sz w:val="24"/>
          <w:szCs w:val="24"/>
        </w:rPr>
        <w:t xml:space="preserve">, </w:t>
      </w:r>
      <w:r w:rsidRPr="004F501E">
        <w:rPr>
          <w:rFonts w:cstheme="minorHAnsi"/>
          <w:sz w:val="24"/>
          <w:szCs w:val="24"/>
        </w:rPr>
        <w:t>z zastrzeżeniem, iż w przypadku pomocy na infrastrukturę dedykowaną i magazynowanie, o których mowa w art. 36 ust.</w:t>
      </w:r>
      <w:r>
        <w:rPr>
          <w:rFonts w:cstheme="minorHAnsi"/>
          <w:sz w:val="24"/>
          <w:szCs w:val="24"/>
        </w:rPr>
        <w:t> </w:t>
      </w:r>
      <w:r w:rsidRPr="004F501E">
        <w:rPr>
          <w:rFonts w:cstheme="minorHAnsi"/>
          <w:sz w:val="24"/>
          <w:szCs w:val="24"/>
        </w:rPr>
        <w:t xml:space="preserve">4 limit wynosi: </w:t>
      </w:r>
      <w:r w:rsidRPr="00F758BE">
        <w:rPr>
          <w:rFonts w:cstheme="minorHAnsi"/>
          <w:b/>
          <w:sz w:val="24"/>
          <w:szCs w:val="24"/>
        </w:rPr>
        <w:t>25 mln EUR</w:t>
      </w:r>
      <w:r w:rsidRPr="004F501E">
        <w:rPr>
          <w:rFonts w:cstheme="minorHAnsi"/>
          <w:sz w:val="24"/>
          <w:szCs w:val="24"/>
        </w:rPr>
        <w:t xml:space="preserve"> na projekt</w:t>
      </w:r>
      <w:r>
        <w:rPr>
          <w:rFonts w:cstheme="minorHAnsi"/>
          <w:sz w:val="24"/>
          <w:szCs w:val="24"/>
        </w:rPr>
        <w:t>;</w:t>
      </w:r>
    </w:p>
    <w:p w14:paraId="305007FD" w14:textId="4495AD88" w:rsidR="007943D9" w:rsidRPr="00D01F50" w:rsidRDefault="007943D9" w:rsidP="00941ED8">
      <w:pPr>
        <w:pStyle w:val="Akapitzlist"/>
        <w:numPr>
          <w:ilvl w:val="0"/>
          <w:numId w:val="1"/>
        </w:numPr>
        <w:spacing w:after="120" w:line="276" w:lineRule="auto"/>
        <w:contextualSpacing w:val="0"/>
        <w:rPr>
          <w:b/>
          <w:sz w:val="24"/>
        </w:rPr>
      </w:pPr>
      <w:r w:rsidRPr="00762814">
        <w:rPr>
          <w:rFonts w:cstheme="minorHAnsi"/>
          <w:sz w:val="24"/>
          <w:szCs w:val="24"/>
        </w:rPr>
        <w:t>pomoc inwestycyjna na środki wspierające efektywność energetyczną</w:t>
      </w:r>
      <w:r w:rsidRPr="000902A0">
        <w:t xml:space="preserve"> </w:t>
      </w:r>
      <w:r w:rsidRPr="000902A0">
        <w:rPr>
          <w:rFonts w:cstheme="minorHAnsi"/>
          <w:sz w:val="24"/>
          <w:szCs w:val="24"/>
        </w:rPr>
        <w:t xml:space="preserve">inną niż w </w:t>
      </w:r>
      <w:r w:rsidRPr="00D01F50">
        <w:rPr>
          <w:rFonts w:cstheme="minorHAnsi"/>
          <w:sz w:val="24"/>
          <w:szCs w:val="24"/>
        </w:rPr>
        <w:t xml:space="preserve">budynkach (art. 38): </w:t>
      </w:r>
      <w:r w:rsidRPr="00D01F50">
        <w:rPr>
          <w:rFonts w:cstheme="minorHAnsi"/>
          <w:b/>
          <w:bCs/>
          <w:sz w:val="24"/>
          <w:szCs w:val="24"/>
        </w:rPr>
        <w:t>30 mln EUR</w:t>
      </w:r>
      <w:r w:rsidR="00F758BE" w:rsidRPr="00D01F50">
        <w:rPr>
          <w:sz w:val="24"/>
        </w:rPr>
        <w:t xml:space="preserve"> na przedsiębiorstwo na projekt inwestycyjny</w:t>
      </w:r>
      <w:r w:rsidRPr="00D01F50">
        <w:rPr>
          <w:rFonts w:cstheme="minorHAnsi"/>
          <w:b/>
          <w:bCs/>
          <w:sz w:val="24"/>
          <w:szCs w:val="24"/>
        </w:rPr>
        <w:t>;</w:t>
      </w:r>
    </w:p>
    <w:p w14:paraId="488E37EC" w14:textId="65602DA6" w:rsidR="00674C6C" w:rsidRPr="00D01F50" w:rsidRDefault="007943D9" w:rsidP="00941ED8">
      <w:pPr>
        <w:pStyle w:val="Akapitzlist"/>
        <w:numPr>
          <w:ilvl w:val="0"/>
          <w:numId w:val="1"/>
        </w:numPr>
        <w:spacing w:after="120" w:line="276" w:lineRule="auto"/>
        <w:contextualSpacing w:val="0"/>
        <w:rPr>
          <w:sz w:val="24"/>
        </w:rPr>
      </w:pPr>
      <w:r w:rsidRPr="00D01F50">
        <w:rPr>
          <w:rFonts w:cstheme="minorHAnsi"/>
          <w:sz w:val="24"/>
          <w:szCs w:val="24"/>
        </w:rPr>
        <w:t xml:space="preserve">pomoc inwestycyjna na środki wspierające efektywność energetyczną w budynkach (art. 38a): </w:t>
      </w:r>
      <w:r w:rsidRPr="00D01F50">
        <w:rPr>
          <w:rFonts w:cstheme="minorHAnsi"/>
          <w:b/>
          <w:sz w:val="24"/>
          <w:szCs w:val="24"/>
        </w:rPr>
        <w:t>30</w:t>
      </w:r>
      <w:r w:rsidRPr="00D01F50">
        <w:rPr>
          <w:sz w:val="24"/>
        </w:rPr>
        <w:t xml:space="preserve"> </w:t>
      </w:r>
      <w:r w:rsidRPr="00D01F50">
        <w:rPr>
          <w:b/>
          <w:sz w:val="24"/>
        </w:rPr>
        <w:t>mln EUR</w:t>
      </w:r>
      <w:r w:rsidRPr="00D01F50">
        <w:rPr>
          <w:sz w:val="24"/>
        </w:rPr>
        <w:t xml:space="preserve"> </w:t>
      </w:r>
      <w:r w:rsidR="00F758BE" w:rsidRPr="00D01F50">
        <w:rPr>
          <w:sz w:val="24"/>
        </w:rPr>
        <w:t>na przedsiębiorstwo na projekt inwestycyjny;</w:t>
      </w:r>
      <w:r w:rsidRPr="00D01F50">
        <w:rPr>
          <w:sz w:val="24"/>
        </w:rPr>
        <w:t xml:space="preserve"> </w:t>
      </w:r>
    </w:p>
    <w:p w14:paraId="1C6C36A5" w14:textId="08D4B610" w:rsidR="007943D9" w:rsidRPr="00FD55E9" w:rsidRDefault="007943D9" w:rsidP="00941ED8">
      <w:pPr>
        <w:pStyle w:val="Akapitzlist"/>
        <w:numPr>
          <w:ilvl w:val="0"/>
          <w:numId w:val="1"/>
        </w:numPr>
        <w:spacing w:before="240" w:after="120" w:line="276" w:lineRule="auto"/>
        <w:contextualSpacing w:val="0"/>
        <w:rPr>
          <w:rFonts w:eastAsia="Calibri" w:cstheme="minorHAnsi"/>
          <w:bCs/>
          <w:sz w:val="24"/>
          <w:szCs w:val="24"/>
        </w:rPr>
      </w:pPr>
      <w:r w:rsidRPr="00FD55E9">
        <w:rPr>
          <w:rFonts w:cstheme="minorHAnsi"/>
          <w:sz w:val="24"/>
          <w:szCs w:val="24"/>
        </w:rPr>
        <w:t xml:space="preserve">pomoc inwestycyjna na propagowanie energii ze źródeł odnawialnych, propagowanie wodoru odnawialnego i wysokosprawnej kogeneracji (art. 41): </w:t>
      </w:r>
      <w:r w:rsidRPr="00FD55E9">
        <w:rPr>
          <w:rFonts w:cstheme="minorHAnsi"/>
          <w:b/>
          <w:bCs/>
          <w:sz w:val="24"/>
          <w:szCs w:val="24"/>
        </w:rPr>
        <w:t>30 mln EUR</w:t>
      </w:r>
      <w:r w:rsidR="00FD55E9" w:rsidRPr="00FD55E9">
        <w:rPr>
          <w:sz w:val="24"/>
        </w:rPr>
        <w:t xml:space="preserve"> na przedsiębiorstwo na projekt inwestycyjny</w:t>
      </w:r>
      <w:r w:rsidRPr="00FD55E9">
        <w:rPr>
          <w:rFonts w:cstheme="minorHAnsi"/>
          <w:b/>
          <w:bCs/>
          <w:sz w:val="24"/>
          <w:szCs w:val="24"/>
        </w:rPr>
        <w:t xml:space="preserve">; </w:t>
      </w:r>
      <w:r w:rsidR="00FD55E9" w:rsidRPr="00FD55E9">
        <w:rPr>
          <w:rFonts w:cstheme="minorHAnsi"/>
          <w:bCs/>
          <w:sz w:val="24"/>
          <w:szCs w:val="24"/>
        </w:rPr>
        <w:t>w</w:t>
      </w:r>
      <w:r w:rsidRPr="00FD55E9">
        <w:rPr>
          <w:rFonts w:eastAsia="Calibri" w:cstheme="minorHAnsi"/>
          <w:bCs/>
          <w:sz w:val="24"/>
          <w:szCs w:val="24"/>
        </w:rPr>
        <w:t xml:space="preserve">szystkie części inwestycji (wytwarzanie i magazynowanie) uznaje się za stanowiące jeden zintegrowany projekt na potrzeby weryfikacji zgodności z progami określonymi w art. 4 </w:t>
      </w:r>
      <w:r w:rsidR="00341453">
        <w:rPr>
          <w:rFonts w:eastAsia="Calibri" w:cstheme="minorHAnsi"/>
          <w:bCs/>
          <w:sz w:val="24"/>
          <w:szCs w:val="24"/>
        </w:rPr>
        <w:t>r</w:t>
      </w:r>
      <w:r w:rsidRPr="00FD55E9">
        <w:rPr>
          <w:rFonts w:eastAsia="Calibri" w:cstheme="minorHAnsi"/>
          <w:bCs/>
          <w:sz w:val="24"/>
          <w:szCs w:val="24"/>
        </w:rPr>
        <w:t xml:space="preserve">ozporządzenia </w:t>
      </w:r>
      <w:r w:rsidR="002F7D7A" w:rsidRPr="00341453">
        <w:rPr>
          <w:rFonts w:eastAsia="Calibri" w:cstheme="minorHAnsi"/>
          <w:sz w:val="24"/>
          <w:szCs w:val="24"/>
        </w:rPr>
        <w:t>Komisji (UE)</w:t>
      </w:r>
      <w:r w:rsidR="002F7D7A" w:rsidRPr="002F7D7A">
        <w:rPr>
          <w:rFonts w:eastAsia="Calibri" w:cstheme="minorHAnsi"/>
          <w:b/>
          <w:bCs/>
          <w:sz w:val="24"/>
          <w:szCs w:val="24"/>
        </w:rPr>
        <w:t xml:space="preserve"> </w:t>
      </w:r>
      <w:r w:rsidRPr="00FD55E9">
        <w:rPr>
          <w:rFonts w:eastAsia="Calibri" w:cstheme="minorHAnsi"/>
          <w:bCs/>
          <w:sz w:val="24"/>
          <w:szCs w:val="24"/>
        </w:rPr>
        <w:t>nr 651/2014</w:t>
      </w:r>
      <w:r w:rsidR="00FD55E9">
        <w:rPr>
          <w:rFonts w:eastAsia="Calibri" w:cstheme="minorHAnsi"/>
          <w:bCs/>
          <w:sz w:val="24"/>
          <w:szCs w:val="24"/>
        </w:rPr>
        <w:t>;</w:t>
      </w:r>
    </w:p>
    <w:p w14:paraId="0904C804" w14:textId="7BACC989" w:rsidR="007943D9" w:rsidRPr="00762814" w:rsidRDefault="007943D9" w:rsidP="00941ED8">
      <w:pPr>
        <w:pStyle w:val="Akapitzlist"/>
        <w:numPr>
          <w:ilvl w:val="0"/>
          <w:numId w:val="1"/>
        </w:numPr>
        <w:spacing w:after="120" w:line="276" w:lineRule="auto"/>
        <w:contextualSpacing w:val="0"/>
        <w:rPr>
          <w:rFonts w:cstheme="minorHAnsi"/>
          <w:b/>
          <w:bCs/>
          <w:sz w:val="24"/>
          <w:szCs w:val="24"/>
        </w:rPr>
      </w:pPr>
      <w:r w:rsidRPr="00762814">
        <w:rPr>
          <w:rFonts w:cstheme="minorHAnsi"/>
          <w:sz w:val="24"/>
          <w:szCs w:val="24"/>
        </w:rPr>
        <w:t xml:space="preserve">pomoc inwestycyjna </w:t>
      </w:r>
      <w:r w:rsidRPr="00CC3763">
        <w:rPr>
          <w:rFonts w:cstheme="minorHAnsi"/>
          <w:sz w:val="24"/>
          <w:szCs w:val="24"/>
        </w:rPr>
        <w:t xml:space="preserve">na efektywne gospodarowanie zasobami i wspieranie przechodzenia na gospodarkę o obiegu zamkniętym </w:t>
      </w:r>
      <w:r w:rsidRPr="00762814">
        <w:rPr>
          <w:rFonts w:cstheme="minorHAnsi"/>
          <w:sz w:val="24"/>
          <w:szCs w:val="24"/>
        </w:rPr>
        <w:t xml:space="preserve">(art. 47): </w:t>
      </w:r>
      <w:r>
        <w:rPr>
          <w:rFonts w:cstheme="minorHAnsi"/>
          <w:b/>
          <w:bCs/>
          <w:sz w:val="24"/>
          <w:szCs w:val="24"/>
        </w:rPr>
        <w:t xml:space="preserve">30 </w:t>
      </w:r>
      <w:r w:rsidRPr="00762814">
        <w:rPr>
          <w:rFonts w:cstheme="minorHAnsi"/>
          <w:b/>
          <w:bCs/>
          <w:sz w:val="24"/>
          <w:szCs w:val="24"/>
        </w:rPr>
        <w:t>mln EUR</w:t>
      </w:r>
      <w:r w:rsidR="00FD55E9" w:rsidRPr="00FD55E9">
        <w:rPr>
          <w:rFonts w:cstheme="minorHAnsi"/>
          <w:sz w:val="24"/>
          <w:szCs w:val="24"/>
        </w:rPr>
        <w:t xml:space="preserve"> </w:t>
      </w:r>
      <w:r w:rsidR="00FD55E9" w:rsidRPr="00762814">
        <w:rPr>
          <w:rFonts w:cstheme="minorHAnsi"/>
          <w:sz w:val="24"/>
          <w:szCs w:val="24"/>
        </w:rPr>
        <w:t xml:space="preserve">na </w:t>
      </w:r>
      <w:r w:rsidR="00FD55E9" w:rsidRPr="00C673BA">
        <w:rPr>
          <w:rFonts w:cstheme="minorHAnsi"/>
          <w:sz w:val="24"/>
          <w:szCs w:val="24"/>
        </w:rPr>
        <w:t>przedsiębiorstwo na projekt</w:t>
      </w:r>
      <w:r w:rsidR="00FD55E9">
        <w:rPr>
          <w:rFonts w:cstheme="minorHAnsi"/>
          <w:sz w:val="24"/>
          <w:szCs w:val="24"/>
        </w:rPr>
        <w:t xml:space="preserve"> inwestycyjny</w:t>
      </w:r>
      <w:r w:rsidRPr="00FD55E9">
        <w:rPr>
          <w:rFonts w:cstheme="minorHAnsi"/>
          <w:bCs/>
          <w:sz w:val="24"/>
          <w:szCs w:val="24"/>
        </w:rPr>
        <w:t>.</w:t>
      </w:r>
    </w:p>
    <w:p w14:paraId="6D1262EB" w14:textId="437A666D" w:rsidR="00A023D4" w:rsidRPr="00762814" w:rsidRDefault="00A023D4" w:rsidP="00B413BE">
      <w:pPr>
        <w:spacing w:before="240" w:after="120" w:line="276" w:lineRule="auto"/>
        <w:rPr>
          <w:rFonts w:cstheme="minorHAnsi"/>
          <w:sz w:val="24"/>
          <w:szCs w:val="24"/>
        </w:rPr>
      </w:pPr>
      <w:bookmarkStart w:id="8" w:name="_Hlk120197595"/>
      <w:bookmarkEnd w:id="7"/>
      <w:r w:rsidRPr="00762814">
        <w:rPr>
          <w:rFonts w:cstheme="minorHAnsi"/>
          <w:b/>
          <w:bCs/>
          <w:sz w:val="24"/>
          <w:szCs w:val="24"/>
        </w:rPr>
        <w:t xml:space="preserve">Pomoc de </w:t>
      </w:r>
      <w:proofErr w:type="spellStart"/>
      <w:r w:rsidRPr="00762814">
        <w:rPr>
          <w:rFonts w:cstheme="minorHAnsi"/>
          <w:b/>
          <w:bCs/>
          <w:sz w:val="24"/>
          <w:szCs w:val="24"/>
        </w:rPr>
        <w:t>minimis</w:t>
      </w:r>
      <w:proofErr w:type="spellEnd"/>
      <w:r w:rsidRPr="00762814">
        <w:rPr>
          <w:rFonts w:cstheme="minorHAnsi"/>
          <w:sz w:val="24"/>
          <w:szCs w:val="24"/>
        </w:rPr>
        <w:t xml:space="preserve"> może być udziel</w:t>
      </w:r>
      <w:r w:rsidR="00F75F86" w:rsidRPr="00762814">
        <w:rPr>
          <w:rFonts w:cstheme="minorHAnsi"/>
          <w:sz w:val="24"/>
          <w:szCs w:val="24"/>
        </w:rPr>
        <w:t>o</w:t>
      </w:r>
      <w:r w:rsidRPr="00762814">
        <w:rPr>
          <w:rFonts w:cstheme="minorHAnsi"/>
          <w:sz w:val="24"/>
          <w:szCs w:val="24"/>
        </w:rPr>
        <w:t>na pod warunkiem</w:t>
      </w:r>
      <w:r w:rsidR="003D0C75" w:rsidRPr="00762814">
        <w:rPr>
          <w:rFonts w:cstheme="minorHAnsi"/>
          <w:sz w:val="24"/>
          <w:szCs w:val="24"/>
        </w:rPr>
        <w:t>,</w:t>
      </w:r>
      <w:r w:rsidRPr="00762814">
        <w:rPr>
          <w:rFonts w:cstheme="minorHAnsi"/>
          <w:sz w:val="24"/>
          <w:szCs w:val="24"/>
        </w:rPr>
        <w:t xml:space="preserve"> że łącznie z inną pomocą de </w:t>
      </w:r>
      <w:proofErr w:type="spellStart"/>
      <w:r w:rsidRPr="00762814">
        <w:rPr>
          <w:rFonts w:cstheme="minorHAnsi"/>
          <w:sz w:val="24"/>
          <w:szCs w:val="24"/>
        </w:rPr>
        <w:t>minimis</w:t>
      </w:r>
      <w:proofErr w:type="spellEnd"/>
      <w:r w:rsidRPr="00762814">
        <w:rPr>
          <w:rFonts w:cstheme="minorHAnsi"/>
          <w:sz w:val="24"/>
          <w:szCs w:val="24"/>
        </w:rPr>
        <w:t xml:space="preserve"> </w:t>
      </w:r>
      <w:r w:rsidR="00E508C1">
        <w:rPr>
          <w:rFonts w:cstheme="minorHAnsi"/>
          <w:sz w:val="24"/>
          <w:szCs w:val="24"/>
        </w:rPr>
        <w:t>oraz</w:t>
      </w:r>
      <w:r w:rsidRPr="00762814">
        <w:rPr>
          <w:rFonts w:cstheme="minorHAnsi"/>
          <w:sz w:val="24"/>
          <w:szCs w:val="24"/>
        </w:rPr>
        <w:t xml:space="preserve"> pomocą de </w:t>
      </w:r>
      <w:proofErr w:type="spellStart"/>
      <w:r w:rsidRPr="00762814">
        <w:rPr>
          <w:rFonts w:cstheme="minorHAnsi"/>
          <w:sz w:val="24"/>
          <w:szCs w:val="24"/>
        </w:rPr>
        <w:t>minimis</w:t>
      </w:r>
      <w:proofErr w:type="spellEnd"/>
      <w:r w:rsidRPr="00762814">
        <w:rPr>
          <w:rFonts w:cstheme="minorHAnsi"/>
          <w:sz w:val="24"/>
          <w:szCs w:val="24"/>
        </w:rPr>
        <w:t xml:space="preserve"> w rolnictwie i rybołówstwie, </w:t>
      </w:r>
      <w:r w:rsidR="006670C1">
        <w:rPr>
          <w:rFonts w:cstheme="minorHAnsi"/>
          <w:sz w:val="24"/>
          <w:szCs w:val="24"/>
        </w:rPr>
        <w:t xml:space="preserve">przyznaną przez </w:t>
      </w:r>
      <w:r w:rsidR="00306282" w:rsidRPr="00A5674D">
        <w:rPr>
          <w:rFonts w:cstheme="minorHAnsi"/>
          <w:b/>
          <w:bCs/>
          <w:sz w:val="24"/>
          <w:szCs w:val="24"/>
        </w:rPr>
        <w:t>Rzeczpospolitą Polską</w:t>
      </w:r>
      <w:r w:rsidR="00306282">
        <w:rPr>
          <w:rFonts w:cstheme="minorHAnsi"/>
          <w:sz w:val="24"/>
          <w:szCs w:val="24"/>
        </w:rPr>
        <w:t xml:space="preserve"> </w:t>
      </w:r>
      <w:r w:rsidRPr="00762814">
        <w:rPr>
          <w:rFonts w:cstheme="minorHAnsi"/>
          <w:sz w:val="24"/>
          <w:szCs w:val="24"/>
        </w:rPr>
        <w:t xml:space="preserve">w </w:t>
      </w:r>
      <w:r w:rsidR="00A91391">
        <w:rPr>
          <w:rFonts w:cstheme="minorHAnsi"/>
          <w:sz w:val="24"/>
          <w:szCs w:val="24"/>
        </w:rPr>
        <w:t>okresie</w:t>
      </w:r>
      <w:r w:rsidRPr="00762814">
        <w:rPr>
          <w:rFonts w:cstheme="minorHAnsi"/>
          <w:sz w:val="24"/>
          <w:szCs w:val="24"/>
        </w:rPr>
        <w:t xml:space="preserve"> </w:t>
      </w:r>
      <w:r w:rsidR="00A91391">
        <w:rPr>
          <w:rFonts w:cstheme="minorHAnsi"/>
          <w:sz w:val="24"/>
          <w:szCs w:val="24"/>
        </w:rPr>
        <w:t>3</w:t>
      </w:r>
      <w:r w:rsidRPr="00762814">
        <w:rPr>
          <w:rFonts w:cstheme="minorHAnsi"/>
          <w:sz w:val="24"/>
          <w:szCs w:val="24"/>
        </w:rPr>
        <w:t xml:space="preserve"> lat z różnych źródeł i w różnych formach, </w:t>
      </w:r>
      <w:r w:rsidRPr="00762814">
        <w:rPr>
          <w:rFonts w:cstheme="minorHAnsi"/>
          <w:b/>
          <w:bCs/>
          <w:sz w:val="24"/>
          <w:szCs w:val="24"/>
        </w:rPr>
        <w:t>nie przekroczy kwoty</w:t>
      </w:r>
      <w:r w:rsidR="00E17C86" w:rsidRPr="00762814">
        <w:rPr>
          <w:rFonts w:cstheme="minorHAnsi"/>
          <w:b/>
          <w:bCs/>
          <w:sz w:val="24"/>
          <w:szCs w:val="24"/>
        </w:rPr>
        <w:t xml:space="preserve"> wskazanej w </w:t>
      </w:r>
      <w:r w:rsidR="00A837B1">
        <w:rPr>
          <w:rFonts w:cstheme="minorHAnsi"/>
          <w:b/>
          <w:bCs/>
          <w:sz w:val="24"/>
          <w:szCs w:val="24"/>
        </w:rPr>
        <w:t>r</w:t>
      </w:r>
      <w:r w:rsidR="00E17C86" w:rsidRPr="00762814">
        <w:rPr>
          <w:rFonts w:cstheme="minorHAnsi"/>
          <w:b/>
          <w:bCs/>
          <w:sz w:val="24"/>
          <w:szCs w:val="24"/>
        </w:rPr>
        <w:t xml:space="preserve">ozporządzeniu </w:t>
      </w:r>
      <w:r w:rsidR="00026BC5" w:rsidRPr="00026BC5">
        <w:rPr>
          <w:rFonts w:cstheme="minorHAnsi"/>
          <w:b/>
          <w:bCs/>
          <w:sz w:val="24"/>
          <w:szCs w:val="24"/>
        </w:rPr>
        <w:t xml:space="preserve">Komisji (UE) </w:t>
      </w:r>
      <w:r w:rsidR="00A91391">
        <w:rPr>
          <w:rFonts w:cstheme="minorHAnsi"/>
          <w:b/>
          <w:bCs/>
          <w:sz w:val="24"/>
          <w:szCs w:val="24"/>
        </w:rPr>
        <w:t>2023/2831</w:t>
      </w:r>
      <w:r w:rsidR="00E17C86" w:rsidRPr="00762814">
        <w:rPr>
          <w:rFonts w:cstheme="minorHAnsi"/>
          <w:b/>
          <w:bCs/>
          <w:sz w:val="24"/>
          <w:szCs w:val="24"/>
        </w:rPr>
        <w:t xml:space="preserve">, która wynosi </w:t>
      </w:r>
      <w:r w:rsidR="00A91391">
        <w:rPr>
          <w:rFonts w:cstheme="minorHAnsi"/>
          <w:b/>
          <w:bCs/>
          <w:sz w:val="24"/>
          <w:szCs w:val="24"/>
        </w:rPr>
        <w:t>3</w:t>
      </w:r>
      <w:r w:rsidRPr="00762814">
        <w:rPr>
          <w:rFonts w:cstheme="minorHAnsi"/>
          <w:b/>
          <w:bCs/>
          <w:sz w:val="24"/>
          <w:szCs w:val="24"/>
        </w:rPr>
        <w:t xml:space="preserve">00 000 </w:t>
      </w:r>
      <w:r w:rsidR="00B413BE">
        <w:rPr>
          <w:rFonts w:cstheme="minorHAnsi"/>
          <w:b/>
          <w:bCs/>
          <w:sz w:val="24"/>
          <w:szCs w:val="24"/>
        </w:rPr>
        <w:t>EUR</w:t>
      </w:r>
      <w:r w:rsidR="00B413BE" w:rsidRPr="00762814">
        <w:rPr>
          <w:rFonts w:cstheme="minorHAnsi"/>
          <w:b/>
          <w:bCs/>
          <w:sz w:val="24"/>
          <w:szCs w:val="24"/>
        </w:rPr>
        <w:t xml:space="preserve"> </w:t>
      </w:r>
      <w:r w:rsidRPr="00762814">
        <w:rPr>
          <w:rFonts w:cstheme="minorHAnsi"/>
          <w:b/>
          <w:bCs/>
          <w:sz w:val="24"/>
          <w:szCs w:val="24"/>
        </w:rPr>
        <w:t>dla jednego przedsiębiorcy</w:t>
      </w:r>
      <w:r w:rsidRPr="00762814">
        <w:rPr>
          <w:rFonts w:cstheme="minorHAnsi"/>
          <w:sz w:val="24"/>
          <w:szCs w:val="24"/>
        </w:rPr>
        <w:t xml:space="preserve">. Do celów ustalenia dopuszczalnego pułapu pomocy de </w:t>
      </w:r>
      <w:proofErr w:type="spellStart"/>
      <w:r w:rsidRPr="00762814">
        <w:rPr>
          <w:rFonts w:cstheme="minorHAnsi"/>
          <w:sz w:val="24"/>
          <w:szCs w:val="24"/>
        </w:rPr>
        <w:t>minimis</w:t>
      </w:r>
      <w:proofErr w:type="spellEnd"/>
      <w:r w:rsidRPr="00762814">
        <w:rPr>
          <w:rFonts w:cstheme="minorHAnsi"/>
          <w:sz w:val="24"/>
          <w:szCs w:val="24"/>
        </w:rPr>
        <w:t xml:space="preserve"> przez jednego przedsiębiorcę rozumie się jedno przedsiębiorstwo, o</w:t>
      </w:r>
      <w:r w:rsidR="00BB083A" w:rsidRPr="00762814">
        <w:rPr>
          <w:rFonts w:cstheme="minorHAnsi"/>
          <w:sz w:val="24"/>
          <w:szCs w:val="24"/>
        </w:rPr>
        <w:t> </w:t>
      </w:r>
      <w:r w:rsidRPr="00762814">
        <w:rPr>
          <w:rFonts w:cstheme="minorHAnsi"/>
          <w:sz w:val="24"/>
          <w:szCs w:val="24"/>
        </w:rPr>
        <w:t xml:space="preserve">którym mowa w art. 2 ust. 2 </w:t>
      </w:r>
      <w:r w:rsidR="00A837B1">
        <w:rPr>
          <w:rFonts w:cstheme="minorHAnsi"/>
          <w:b/>
          <w:bCs/>
          <w:sz w:val="24"/>
          <w:szCs w:val="24"/>
        </w:rPr>
        <w:t>r</w:t>
      </w:r>
      <w:r w:rsidR="007A197B" w:rsidRPr="00762814">
        <w:rPr>
          <w:rFonts w:cstheme="minorHAnsi"/>
          <w:b/>
          <w:bCs/>
          <w:sz w:val="24"/>
          <w:szCs w:val="24"/>
        </w:rPr>
        <w:t>ozporządzeni</w:t>
      </w:r>
      <w:r w:rsidR="00EC635E" w:rsidRPr="00762814">
        <w:rPr>
          <w:rFonts w:cstheme="minorHAnsi"/>
          <w:b/>
          <w:bCs/>
          <w:sz w:val="24"/>
          <w:szCs w:val="24"/>
        </w:rPr>
        <w:t>a</w:t>
      </w:r>
      <w:r w:rsidR="007A197B" w:rsidRPr="00762814">
        <w:rPr>
          <w:rFonts w:cstheme="minorHAnsi"/>
          <w:b/>
          <w:bCs/>
          <w:sz w:val="24"/>
          <w:szCs w:val="24"/>
        </w:rPr>
        <w:t xml:space="preserve"> </w:t>
      </w:r>
      <w:r w:rsidR="00026BC5" w:rsidRPr="00026BC5">
        <w:rPr>
          <w:rFonts w:cstheme="minorHAnsi"/>
          <w:b/>
          <w:bCs/>
          <w:sz w:val="24"/>
          <w:szCs w:val="24"/>
        </w:rPr>
        <w:t xml:space="preserve">Komisji (UE) </w:t>
      </w:r>
      <w:r w:rsidR="00A91391">
        <w:rPr>
          <w:rFonts w:cstheme="minorHAnsi"/>
          <w:b/>
          <w:bCs/>
          <w:sz w:val="24"/>
          <w:szCs w:val="24"/>
        </w:rPr>
        <w:t>2023/2831</w:t>
      </w:r>
      <w:r w:rsidRPr="00762814">
        <w:rPr>
          <w:rFonts w:cstheme="minorHAnsi"/>
          <w:sz w:val="24"/>
          <w:szCs w:val="24"/>
        </w:rPr>
        <w:t>.</w:t>
      </w:r>
      <w:r w:rsidR="004D4703" w:rsidRPr="00762814">
        <w:rPr>
          <w:rFonts w:cstheme="minorHAnsi"/>
          <w:sz w:val="24"/>
          <w:szCs w:val="24"/>
        </w:rPr>
        <w:t xml:space="preserve"> Wnioskowana pomoc de </w:t>
      </w:r>
      <w:proofErr w:type="spellStart"/>
      <w:r w:rsidR="004D4703" w:rsidRPr="00762814">
        <w:rPr>
          <w:rFonts w:cstheme="minorHAnsi"/>
          <w:sz w:val="24"/>
          <w:szCs w:val="24"/>
        </w:rPr>
        <w:t>minimis</w:t>
      </w:r>
      <w:proofErr w:type="spellEnd"/>
      <w:r w:rsidR="004D4703" w:rsidRPr="00762814">
        <w:rPr>
          <w:rFonts w:cstheme="minorHAnsi"/>
          <w:sz w:val="24"/>
          <w:szCs w:val="24"/>
        </w:rPr>
        <w:t xml:space="preserve"> nie może przekroczyć ww.</w:t>
      </w:r>
      <w:r w:rsidR="006670C1">
        <w:rPr>
          <w:rFonts w:cstheme="minorHAnsi"/>
          <w:sz w:val="24"/>
          <w:szCs w:val="24"/>
        </w:rPr>
        <w:t xml:space="preserve"> </w:t>
      </w:r>
      <w:r w:rsidR="00EE75D8">
        <w:rPr>
          <w:rFonts w:cstheme="minorHAnsi"/>
          <w:sz w:val="24"/>
          <w:szCs w:val="24"/>
        </w:rPr>
        <w:t>pułapu</w:t>
      </w:r>
      <w:r w:rsidR="004D4703" w:rsidRPr="00762814">
        <w:rPr>
          <w:rFonts w:cstheme="minorHAnsi"/>
          <w:sz w:val="24"/>
          <w:szCs w:val="24"/>
        </w:rPr>
        <w:t>.</w:t>
      </w:r>
    </w:p>
    <w:p w14:paraId="5B83A350" w14:textId="7F6A0088" w:rsidR="00E340EA" w:rsidRDefault="00E340EA" w:rsidP="00427515">
      <w:pPr>
        <w:spacing w:after="120" w:line="276" w:lineRule="auto"/>
        <w:rPr>
          <w:rFonts w:cstheme="minorHAnsi"/>
          <w:sz w:val="24"/>
          <w:szCs w:val="24"/>
        </w:rPr>
      </w:pPr>
      <w:r w:rsidRPr="00B44F6D">
        <w:rPr>
          <w:rFonts w:cstheme="minorHAnsi"/>
          <w:sz w:val="24"/>
          <w:szCs w:val="24"/>
        </w:rPr>
        <w:t>Koszty mogą zostać poniesione najwcześniej po dniu złożenia wniosku</w:t>
      </w:r>
      <w:r w:rsidR="0091142B">
        <w:rPr>
          <w:rFonts w:cstheme="minorHAnsi"/>
          <w:sz w:val="24"/>
          <w:szCs w:val="24"/>
        </w:rPr>
        <w:t>.</w:t>
      </w:r>
    </w:p>
    <w:p w14:paraId="3E95F87C" w14:textId="20A35EEA" w:rsidR="007E24BC" w:rsidRPr="00762814" w:rsidRDefault="007E24BC" w:rsidP="007E24BC">
      <w:pPr>
        <w:pStyle w:val="Tekstkomentarza"/>
        <w:spacing w:after="120" w:line="276" w:lineRule="auto"/>
        <w:rPr>
          <w:rFonts w:cstheme="minorHAnsi"/>
          <w:sz w:val="24"/>
          <w:szCs w:val="24"/>
        </w:rPr>
      </w:pPr>
      <w:r w:rsidRPr="00762814">
        <w:rPr>
          <w:rFonts w:cstheme="minorHAnsi"/>
          <w:sz w:val="24"/>
          <w:szCs w:val="24"/>
        </w:rPr>
        <w:t xml:space="preserve">Aby ustalić, czy przestrzegane są ww. maksymalne progi pomocy oraz progi maksymalnej intensywności pomocy, należy wziąć pod uwagę </w:t>
      </w:r>
      <w:r w:rsidRPr="00762814">
        <w:rPr>
          <w:rFonts w:cstheme="minorHAnsi"/>
          <w:b/>
          <w:bCs/>
          <w:sz w:val="24"/>
          <w:szCs w:val="24"/>
        </w:rPr>
        <w:t>warunki kumulacji</w:t>
      </w:r>
      <w:r w:rsidRPr="00762814">
        <w:rPr>
          <w:rFonts w:cstheme="minorHAnsi"/>
          <w:sz w:val="24"/>
          <w:szCs w:val="24"/>
        </w:rPr>
        <w:t xml:space="preserve"> wskazane w art. 8 rozporządzenia Komisji (UE) nr 651/2014, tj. przy obliczaniu uwzględnia się całkowitą kwotę pomocy w ramach danego przeznaczenia pomocy </w:t>
      </w:r>
      <w:r w:rsidRPr="00762814">
        <w:rPr>
          <w:rFonts w:cstheme="minorHAnsi"/>
          <w:b/>
          <w:bCs/>
          <w:sz w:val="24"/>
          <w:szCs w:val="24"/>
        </w:rPr>
        <w:t>w ramach projektu.</w:t>
      </w:r>
      <w:r w:rsidRPr="00762814">
        <w:rPr>
          <w:rFonts w:cstheme="minorHAnsi"/>
          <w:sz w:val="24"/>
          <w:szCs w:val="24"/>
        </w:rPr>
        <w:t xml:space="preserve"> </w:t>
      </w:r>
    </w:p>
    <w:p w14:paraId="1A6A8923" w14:textId="77777777" w:rsidR="007E24BC" w:rsidRPr="00174D9C" w:rsidRDefault="007E24BC" w:rsidP="007E24BC">
      <w:pPr>
        <w:pStyle w:val="Tekstkomentarza"/>
        <w:spacing w:after="120" w:line="276" w:lineRule="auto"/>
        <w:rPr>
          <w:rFonts w:cstheme="minorHAnsi"/>
          <w:sz w:val="24"/>
          <w:szCs w:val="24"/>
        </w:rPr>
      </w:pPr>
      <w:r>
        <w:rPr>
          <w:rFonts w:cstheme="minorHAnsi"/>
          <w:sz w:val="24"/>
          <w:szCs w:val="24"/>
        </w:rPr>
        <w:t xml:space="preserve">Na etapie oceny wniosku o dofinansowanie do przeliczenia </w:t>
      </w:r>
      <w:r w:rsidRPr="00865569">
        <w:rPr>
          <w:rFonts w:cstheme="minorHAnsi"/>
          <w:sz w:val="24"/>
          <w:szCs w:val="24"/>
        </w:rPr>
        <w:t xml:space="preserve">na EUR wysokości </w:t>
      </w:r>
      <w:r>
        <w:rPr>
          <w:rFonts w:cstheme="minorHAnsi"/>
          <w:sz w:val="24"/>
          <w:szCs w:val="24"/>
        </w:rPr>
        <w:t>wnioskowanego</w:t>
      </w:r>
      <w:r w:rsidRPr="00865569">
        <w:rPr>
          <w:rFonts w:cstheme="minorHAnsi"/>
          <w:sz w:val="24"/>
          <w:szCs w:val="24"/>
        </w:rPr>
        <w:t xml:space="preserve"> dofinansowania</w:t>
      </w:r>
      <w:r>
        <w:rPr>
          <w:rFonts w:cstheme="minorHAnsi"/>
          <w:sz w:val="24"/>
          <w:szCs w:val="24"/>
        </w:rPr>
        <w:t xml:space="preserve"> </w:t>
      </w:r>
      <w:r w:rsidRPr="00865569">
        <w:rPr>
          <w:rFonts w:cstheme="minorHAnsi"/>
          <w:sz w:val="24"/>
          <w:szCs w:val="24"/>
        </w:rPr>
        <w:t xml:space="preserve">stosowany jest </w:t>
      </w:r>
      <w:r w:rsidRPr="00EC7FD0">
        <w:rPr>
          <w:rFonts w:cstheme="minorHAnsi"/>
          <w:sz w:val="24"/>
          <w:szCs w:val="24"/>
        </w:rPr>
        <w:t>kurs średni EUR</w:t>
      </w:r>
      <w:r w:rsidRPr="00865569">
        <w:rPr>
          <w:rFonts w:cstheme="minorHAnsi"/>
          <w:sz w:val="24"/>
          <w:szCs w:val="24"/>
        </w:rPr>
        <w:t xml:space="preserve"> – ogłaszany przez Narodowy Bank Polski – obowiązujący w dniu</w:t>
      </w:r>
      <w:r>
        <w:rPr>
          <w:rFonts w:cstheme="minorHAnsi"/>
          <w:sz w:val="24"/>
          <w:szCs w:val="24"/>
        </w:rPr>
        <w:t xml:space="preserve"> ogłoszenia naboru</w:t>
      </w:r>
      <w:r w:rsidRPr="00174D9C">
        <w:rPr>
          <w:rFonts w:cstheme="minorHAnsi"/>
          <w:sz w:val="24"/>
          <w:szCs w:val="24"/>
        </w:rPr>
        <w:t xml:space="preserve">. </w:t>
      </w:r>
    </w:p>
    <w:p w14:paraId="041BC043" w14:textId="367CF413" w:rsidR="007E24BC" w:rsidRPr="00762814" w:rsidRDefault="007E24BC" w:rsidP="007E24BC">
      <w:pPr>
        <w:pStyle w:val="Tekstkomentarza"/>
        <w:spacing w:after="120" w:line="276" w:lineRule="auto"/>
        <w:rPr>
          <w:rFonts w:cstheme="minorHAnsi"/>
          <w:sz w:val="24"/>
          <w:szCs w:val="24"/>
        </w:rPr>
      </w:pPr>
      <w:r w:rsidRPr="00762814">
        <w:rPr>
          <w:rFonts w:cstheme="minorHAnsi"/>
          <w:sz w:val="24"/>
          <w:szCs w:val="24"/>
        </w:rPr>
        <w:lastRenderedPageBreak/>
        <w:t>Do przeliczenia na EUR</w:t>
      </w:r>
      <w:r w:rsidRPr="00762814" w:rsidDel="008737B3">
        <w:rPr>
          <w:rFonts w:cstheme="minorHAnsi"/>
          <w:sz w:val="24"/>
          <w:szCs w:val="24"/>
        </w:rPr>
        <w:t xml:space="preserve"> </w:t>
      </w:r>
      <w:r w:rsidRPr="00762814">
        <w:rPr>
          <w:rFonts w:cstheme="minorHAnsi"/>
          <w:sz w:val="24"/>
          <w:szCs w:val="24"/>
        </w:rPr>
        <w:t xml:space="preserve">wysokości udzielonego dofinansowania w ramach poszczególnych przeznaczeń pomocy w projekcie, stosowany jest kurs </w:t>
      </w:r>
      <w:r w:rsidRPr="00EC7FD0">
        <w:rPr>
          <w:rFonts w:cstheme="minorHAnsi"/>
          <w:sz w:val="24"/>
          <w:szCs w:val="24"/>
        </w:rPr>
        <w:t xml:space="preserve">średni walut </w:t>
      </w:r>
      <w:r w:rsidR="00C94328">
        <w:rPr>
          <w:rFonts w:cstheme="minorHAnsi"/>
          <w:sz w:val="24"/>
          <w:szCs w:val="24"/>
        </w:rPr>
        <w:t>EUR</w:t>
      </w:r>
      <w:r w:rsidRPr="00762814">
        <w:rPr>
          <w:rFonts w:cstheme="minorHAnsi"/>
          <w:sz w:val="24"/>
          <w:szCs w:val="24"/>
        </w:rPr>
        <w:t xml:space="preserve"> – ogłaszany przez Narodowy Bank Polski – obowiązujący w dniu zawarcia umowy o dofinansowanie, </w:t>
      </w:r>
      <w:r w:rsidRPr="00762814">
        <w:rPr>
          <w:rFonts w:cstheme="minorHAnsi"/>
          <w:sz w:val="24"/>
          <w:szCs w:val="24"/>
        </w:rPr>
        <w:br/>
        <w:t>a w przypadku zmiany – w dniu zawarcia aneksu do umowy o dofinansowanie.</w:t>
      </w:r>
    </w:p>
    <w:p w14:paraId="3528CA5D" w14:textId="3DFDF9AC" w:rsidR="007E24BC" w:rsidRDefault="007E24BC" w:rsidP="00407985">
      <w:pPr>
        <w:spacing w:after="120" w:line="276" w:lineRule="auto"/>
        <w:rPr>
          <w:rFonts w:cstheme="minorHAnsi"/>
          <w:b/>
          <w:sz w:val="24"/>
          <w:szCs w:val="24"/>
        </w:rPr>
      </w:pPr>
      <w:r w:rsidRPr="007E24BC">
        <w:rPr>
          <w:rFonts w:cstheme="minorHAnsi"/>
          <w:b/>
          <w:sz w:val="24"/>
          <w:szCs w:val="24"/>
        </w:rPr>
        <w:t>Istotne wykluczenia z finansowania w ramach projektu:</w:t>
      </w:r>
    </w:p>
    <w:p w14:paraId="21FBE7C9" w14:textId="1D75396D" w:rsidR="00407985" w:rsidRPr="00407985" w:rsidRDefault="00407985" w:rsidP="00407985">
      <w:pPr>
        <w:spacing w:after="120" w:line="276" w:lineRule="auto"/>
        <w:rPr>
          <w:rFonts w:cstheme="minorHAnsi"/>
          <w:sz w:val="24"/>
          <w:szCs w:val="24"/>
        </w:rPr>
      </w:pPr>
      <w:r w:rsidRPr="005A0DD3">
        <w:rPr>
          <w:rFonts w:cstheme="minorHAnsi"/>
          <w:b/>
          <w:sz w:val="24"/>
          <w:szCs w:val="24"/>
        </w:rPr>
        <w:t>W ramach regionalnej pomocy inwestycyjnej</w:t>
      </w:r>
      <w:r>
        <w:rPr>
          <w:rFonts w:cstheme="minorHAnsi"/>
          <w:sz w:val="24"/>
          <w:szCs w:val="24"/>
        </w:rPr>
        <w:t xml:space="preserve"> k</w:t>
      </w:r>
      <w:r w:rsidRPr="00407985">
        <w:rPr>
          <w:rFonts w:cstheme="minorHAnsi"/>
          <w:sz w:val="24"/>
          <w:szCs w:val="24"/>
        </w:rPr>
        <w:t>oszty związane z wytwarzaniem energii można uznać za kwalifikowalne, o ile:</w:t>
      </w:r>
    </w:p>
    <w:p w14:paraId="56500141" w14:textId="2DB6D4C6" w:rsidR="00407985" w:rsidRPr="00407985" w:rsidRDefault="00407985" w:rsidP="000E5F36">
      <w:pPr>
        <w:spacing w:after="0" w:line="276" w:lineRule="auto"/>
        <w:rPr>
          <w:rFonts w:cstheme="minorHAnsi"/>
          <w:sz w:val="24"/>
          <w:szCs w:val="24"/>
        </w:rPr>
      </w:pPr>
      <w:r w:rsidRPr="00407985">
        <w:rPr>
          <w:rFonts w:cstheme="minorHAnsi"/>
          <w:sz w:val="24"/>
          <w:szCs w:val="24"/>
        </w:rPr>
        <w:t xml:space="preserve">(1) wytwarzanie energii nie jest podstawowym celem </w:t>
      </w:r>
      <w:r w:rsidR="00AB211C">
        <w:rPr>
          <w:rFonts w:cstheme="minorHAnsi"/>
          <w:sz w:val="24"/>
          <w:szCs w:val="24"/>
        </w:rPr>
        <w:t>projektu</w:t>
      </w:r>
      <w:r w:rsidR="00AB211C" w:rsidRPr="00407985">
        <w:rPr>
          <w:rFonts w:cstheme="minorHAnsi"/>
          <w:sz w:val="24"/>
          <w:szCs w:val="24"/>
        </w:rPr>
        <w:t xml:space="preserve"> </w:t>
      </w:r>
      <w:r w:rsidRPr="00407985">
        <w:rPr>
          <w:rFonts w:cstheme="minorHAnsi"/>
          <w:sz w:val="24"/>
          <w:szCs w:val="24"/>
        </w:rPr>
        <w:t>(większość kosztów</w:t>
      </w:r>
      <w:r w:rsidR="000E5F36">
        <w:rPr>
          <w:rFonts w:cstheme="minorHAnsi"/>
          <w:sz w:val="24"/>
          <w:szCs w:val="24"/>
        </w:rPr>
        <w:t xml:space="preserve"> </w:t>
      </w:r>
      <w:r w:rsidRPr="00407985">
        <w:rPr>
          <w:rFonts w:cstheme="minorHAnsi"/>
          <w:sz w:val="24"/>
          <w:szCs w:val="24"/>
        </w:rPr>
        <w:t>nie powinna być powiązana z wytwarzaniem energii)</w:t>
      </w:r>
      <w:r>
        <w:rPr>
          <w:rFonts w:cstheme="minorHAnsi"/>
          <w:sz w:val="24"/>
          <w:szCs w:val="24"/>
        </w:rPr>
        <w:t>;</w:t>
      </w:r>
    </w:p>
    <w:p w14:paraId="2CFCCA75" w14:textId="3032FFEB" w:rsidR="00407985" w:rsidRPr="00407985" w:rsidRDefault="00407985" w:rsidP="000E5F36">
      <w:pPr>
        <w:spacing w:after="0" w:line="276" w:lineRule="auto"/>
        <w:rPr>
          <w:rFonts w:cstheme="minorHAnsi"/>
          <w:sz w:val="24"/>
          <w:szCs w:val="24"/>
        </w:rPr>
      </w:pPr>
      <w:r w:rsidRPr="00407985">
        <w:rPr>
          <w:rFonts w:cstheme="minorHAnsi"/>
          <w:sz w:val="24"/>
          <w:szCs w:val="24"/>
        </w:rPr>
        <w:t>(2) zdolność wytwarzania energii powinna być dostosowana do potrzeb</w:t>
      </w:r>
      <w:r w:rsidR="000E5F36">
        <w:rPr>
          <w:rFonts w:cstheme="minorHAnsi"/>
          <w:sz w:val="24"/>
          <w:szCs w:val="24"/>
        </w:rPr>
        <w:t xml:space="preserve"> </w:t>
      </w:r>
      <w:r w:rsidRPr="00407985">
        <w:rPr>
          <w:rFonts w:cstheme="minorHAnsi"/>
          <w:sz w:val="24"/>
          <w:szCs w:val="24"/>
        </w:rPr>
        <w:t>przedsiębiorstwa, tj. celem jest zużywanie wytworzonej energii na potrzeby własne</w:t>
      </w:r>
      <w:r w:rsidR="000E5F36">
        <w:rPr>
          <w:rFonts w:cstheme="minorHAnsi"/>
          <w:sz w:val="24"/>
          <w:szCs w:val="24"/>
        </w:rPr>
        <w:t xml:space="preserve"> </w:t>
      </w:r>
      <w:r w:rsidRPr="00407985">
        <w:rPr>
          <w:rFonts w:cstheme="minorHAnsi"/>
          <w:sz w:val="24"/>
          <w:szCs w:val="24"/>
        </w:rPr>
        <w:t>(a maksymalnie 20% zaplanowanej do wytworzenia energii może zostać sprzedane,</w:t>
      </w:r>
      <w:r w:rsidR="000E5F36">
        <w:rPr>
          <w:rFonts w:cstheme="minorHAnsi"/>
          <w:sz w:val="24"/>
          <w:szCs w:val="24"/>
        </w:rPr>
        <w:t xml:space="preserve"> </w:t>
      </w:r>
      <w:r w:rsidRPr="00407985">
        <w:rPr>
          <w:rFonts w:cstheme="minorHAnsi"/>
          <w:sz w:val="24"/>
          <w:szCs w:val="24"/>
        </w:rPr>
        <w:t xml:space="preserve">na podstawie analizy ex </w:t>
      </w:r>
      <w:proofErr w:type="spellStart"/>
      <w:r w:rsidRPr="00407985">
        <w:rPr>
          <w:rFonts w:cstheme="minorHAnsi"/>
          <w:sz w:val="24"/>
          <w:szCs w:val="24"/>
        </w:rPr>
        <w:t>ante</w:t>
      </w:r>
      <w:proofErr w:type="spellEnd"/>
      <w:r w:rsidRPr="00407985">
        <w:rPr>
          <w:rFonts w:cstheme="minorHAnsi"/>
          <w:sz w:val="24"/>
          <w:szCs w:val="24"/>
        </w:rPr>
        <w:t>);</w:t>
      </w:r>
    </w:p>
    <w:p w14:paraId="7CDBFDE5" w14:textId="55A1A4EB" w:rsidR="003A5CAA" w:rsidRDefault="00407985" w:rsidP="000E5F36">
      <w:pPr>
        <w:spacing w:after="120" w:line="276" w:lineRule="auto"/>
        <w:rPr>
          <w:rFonts w:cstheme="minorHAnsi"/>
          <w:sz w:val="24"/>
          <w:szCs w:val="24"/>
        </w:rPr>
      </w:pPr>
      <w:r w:rsidRPr="00407985">
        <w:rPr>
          <w:rFonts w:cstheme="minorHAnsi"/>
          <w:sz w:val="24"/>
          <w:szCs w:val="24"/>
        </w:rPr>
        <w:t>(3) w odniesieniu do źródła energii, jedynie inwestycje, które kwalifikowałyby się do</w:t>
      </w:r>
      <w:r w:rsidR="000E5F36">
        <w:rPr>
          <w:rFonts w:cstheme="minorHAnsi"/>
          <w:sz w:val="24"/>
          <w:szCs w:val="24"/>
        </w:rPr>
        <w:t xml:space="preserve"> </w:t>
      </w:r>
      <w:r w:rsidRPr="00407985">
        <w:rPr>
          <w:rFonts w:cstheme="minorHAnsi"/>
          <w:sz w:val="24"/>
          <w:szCs w:val="24"/>
        </w:rPr>
        <w:t>otrzymania pomocy na podstawie zasad dotyczących pomocy państwa w sektorze</w:t>
      </w:r>
      <w:r w:rsidR="000E5F36">
        <w:rPr>
          <w:rFonts w:cstheme="minorHAnsi"/>
          <w:sz w:val="24"/>
          <w:szCs w:val="24"/>
        </w:rPr>
        <w:t xml:space="preserve"> </w:t>
      </w:r>
      <w:r w:rsidRPr="00407985">
        <w:rPr>
          <w:rFonts w:cstheme="minorHAnsi"/>
          <w:sz w:val="24"/>
          <w:szCs w:val="24"/>
        </w:rPr>
        <w:t>energii, będą uznane za kwalifikowalne, np. odnawialne źródła energii lub</w:t>
      </w:r>
      <w:r w:rsidR="000E5F36">
        <w:rPr>
          <w:rFonts w:cstheme="minorHAnsi"/>
          <w:sz w:val="24"/>
          <w:szCs w:val="24"/>
        </w:rPr>
        <w:t xml:space="preserve"> </w:t>
      </w:r>
      <w:r w:rsidRPr="00407985">
        <w:rPr>
          <w:rFonts w:cstheme="minorHAnsi"/>
          <w:sz w:val="24"/>
          <w:szCs w:val="24"/>
        </w:rPr>
        <w:t>wysokosprawna kogeneracja.</w:t>
      </w:r>
    </w:p>
    <w:p w14:paraId="6C94779A" w14:textId="77777777" w:rsidR="00175B04" w:rsidRPr="00175B04" w:rsidRDefault="00175B04" w:rsidP="00175B04">
      <w:pPr>
        <w:autoSpaceDE w:val="0"/>
        <w:autoSpaceDN w:val="0"/>
        <w:adjustRightInd w:val="0"/>
        <w:spacing w:after="0" w:line="240" w:lineRule="auto"/>
        <w:rPr>
          <w:rFonts w:ascii="Calibri" w:hAnsi="Calibri" w:cs="Calibri"/>
          <w:color w:val="000000"/>
          <w:sz w:val="24"/>
          <w:szCs w:val="24"/>
        </w:rPr>
      </w:pPr>
    </w:p>
    <w:p w14:paraId="16BD3081" w14:textId="72AC582A" w:rsidR="00175B04" w:rsidRPr="00175B04" w:rsidRDefault="00175B04" w:rsidP="007E24BC">
      <w:pPr>
        <w:autoSpaceDE w:val="0"/>
        <w:autoSpaceDN w:val="0"/>
        <w:adjustRightInd w:val="0"/>
        <w:spacing w:after="0" w:line="276" w:lineRule="auto"/>
        <w:rPr>
          <w:rFonts w:ascii="Calibri" w:hAnsi="Calibri" w:cs="Calibri"/>
          <w:color w:val="000000"/>
          <w:sz w:val="23"/>
          <w:szCs w:val="23"/>
        </w:rPr>
      </w:pPr>
      <w:r w:rsidRPr="00175B04">
        <w:rPr>
          <w:rFonts w:ascii="Calibri" w:hAnsi="Calibri" w:cs="Calibri"/>
          <w:color w:val="000000"/>
          <w:sz w:val="23"/>
          <w:szCs w:val="23"/>
        </w:rPr>
        <w:t xml:space="preserve">Zgodnie z art. 7 ust. 1 </w:t>
      </w:r>
      <w:r w:rsidR="00C60337">
        <w:rPr>
          <w:rFonts w:ascii="Calibri" w:hAnsi="Calibri" w:cs="Calibri"/>
          <w:color w:val="000000"/>
          <w:sz w:val="23"/>
          <w:szCs w:val="23"/>
        </w:rPr>
        <w:t>r</w:t>
      </w:r>
      <w:r w:rsidRPr="00175B04">
        <w:rPr>
          <w:rFonts w:ascii="Calibri" w:hAnsi="Calibri" w:cs="Calibri"/>
          <w:color w:val="000000"/>
          <w:sz w:val="23"/>
          <w:szCs w:val="23"/>
        </w:rPr>
        <w:t xml:space="preserve">ozporządzenia </w:t>
      </w:r>
      <w:r w:rsidR="00C60337" w:rsidRPr="00AE07B7">
        <w:rPr>
          <w:rFonts w:ascii="Calibri" w:hAnsi="Calibri" w:cs="Calibri"/>
          <w:color w:val="000000"/>
          <w:sz w:val="23"/>
          <w:szCs w:val="23"/>
        </w:rPr>
        <w:t>Parlamentu Europejskiego i Rady (UE) </w:t>
      </w:r>
      <w:r w:rsidRPr="00175B04">
        <w:rPr>
          <w:rFonts w:ascii="Calibri" w:hAnsi="Calibri" w:cs="Calibri"/>
          <w:color w:val="000000"/>
          <w:sz w:val="23"/>
          <w:szCs w:val="23"/>
        </w:rPr>
        <w:t>nr 2021/1058</w:t>
      </w:r>
      <w:r w:rsidR="00C60337">
        <w:rPr>
          <w:rFonts w:ascii="Calibri" w:hAnsi="Calibri" w:cs="Calibri"/>
          <w:color w:val="000000"/>
          <w:sz w:val="23"/>
          <w:szCs w:val="23"/>
        </w:rPr>
        <w:t xml:space="preserve"> z</w:t>
      </w:r>
      <w:r w:rsidR="00C60337" w:rsidRPr="00AE07B7">
        <w:rPr>
          <w:rFonts w:ascii="Calibri" w:hAnsi="Calibri" w:cs="Calibri"/>
          <w:color w:val="000000"/>
          <w:sz w:val="23"/>
          <w:szCs w:val="23"/>
        </w:rPr>
        <w:t> dnia 24 czerwca 2021 r. w sprawie Europejskiego Funduszu Rozwoju Regionalnego i Funduszu Spójności</w:t>
      </w:r>
      <w:r w:rsidR="00C60337">
        <w:rPr>
          <w:rFonts w:ascii="Calibri" w:hAnsi="Calibri" w:cs="Calibri"/>
          <w:color w:val="000000"/>
          <w:sz w:val="23"/>
          <w:szCs w:val="23"/>
        </w:rPr>
        <w:t xml:space="preserve"> </w:t>
      </w:r>
      <w:hyperlink r:id="rId13" w:history="1">
        <w:r w:rsidR="00C60337" w:rsidRPr="009C1174">
          <w:rPr>
            <w:rStyle w:val="Hipercze"/>
            <w:rFonts w:ascii="Calibri" w:hAnsi="Calibri" w:cs="Calibri"/>
            <w:sz w:val="23"/>
            <w:szCs w:val="23"/>
          </w:rPr>
          <w:t xml:space="preserve">(Dz. Urz. UE L 231 z 30.06.2021, s. 60, z </w:t>
        </w:r>
        <w:proofErr w:type="spellStart"/>
        <w:r w:rsidR="00C60337" w:rsidRPr="009C1174">
          <w:rPr>
            <w:rStyle w:val="Hipercze"/>
            <w:rFonts w:ascii="Calibri" w:hAnsi="Calibri" w:cs="Calibri"/>
            <w:sz w:val="23"/>
            <w:szCs w:val="23"/>
          </w:rPr>
          <w:t>późn</w:t>
        </w:r>
        <w:proofErr w:type="spellEnd"/>
        <w:r w:rsidR="00C60337" w:rsidRPr="009C1174">
          <w:rPr>
            <w:rStyle w:val="Hipercze"/>
            <w:rFonts w:ascii="Calibri" w:hAnsi="Calibri" w:cs="Calibri"/>
            <w:sz w:val="23"/>
            <w:szCs w:val="23"/>
          </w:rPr>
          <w:t>. zm.)</w:t>
        </w:r>
      </w:hyperlink>
      <w:r w:rsidR="00C60337" w:rsidRPr="00175B04">
        <w:rPr>
          <w:rFonts w:ascii="Calibri" w:hAnsi="Calibri" w:cs="Calibri"/>
          <w:color w:val="000000"/>
          <w:sz w:val="23"/>
          <w:szCs w:val="23"/>
        </w:rPr>
        <w:t>,</w:t>
      </w:r>
      <w:r w:rsidRPr="00175B04">
        <w:rPr>
          <w:rFonts w:ascii="Calibri" w:hAnsi="Calibri" w:cs="Calibri"/>
          <w:color w:val="000000"/>
          <w:sz w:val="23"/>
          <w:szCs w:val="23"/>
        </w:rPr>
        <w:t xml:space="preserve">, środki z Europejskiego Funduszu Rozwoju Regionalnego nie mogą być udzielone na inwestycję w zakresie produkcji, przetwarzania, transportu, dystrybucji, magazynowania lub spalania </w:t>
      </w:r>
      <w:r w:rsidRPr="00175B04">
        <w:rPr>
          <w:rFonts w:ascii="Calibri" w:hAnsi="Calibri" w:cs="Calibri"/>
          <w:b/>
          <w:bCs/>
          <w:color w:val="000000"/>
          <w:sz w:val="23"/>
          <w:szCs w:val="23"/>
        </w:rPr>
        <w:t>paliw kopalnych</w:t>
      </w:r>
      <w:r w:rsidRPr="00175B04">
        <w:rPr>
          <w:rFonts w:ascii="Calibri" w:hAnsi="Calibri" w:cs="Calibri"/>
          <w:color w:val="000000"/>
          <w:sz w:val="23"/>
          <w:szCs w:val="23"/>
        </w:rPr>
        <w:t xml:space="preserve">. Taką inwestycją będzie np. zakup urządzeń zasilanych paliwami kopalnymi (w tym gazem ziemnym), z tego względu nie może być to koszt kwalifikowalny w projekcie. </w:t>
      </w:r>
    </w:p>
    <w:p w14:paraId="35409DB8" w14:textId="26D738FB" w:rsidR="00175B04" w:rsidRDefault="00175B04" w:rsidP="000E5F36">
      <w:pPr>
        <w:spacing w:after="120" w:line="276" w:lineRule="auto"/>
        <w:rPr>
          <w:rFonts w:cstheme="minorHAnsi"/>
          <w:sz w:val="24"/>
          <w:szCs w:val="24"/>
        </w:rPr>
      </w:pPr>
    </w:p>
    <w:p w14:paraId="29B1CEB9" w14:textId="3B6432F4" w:rsidR="007E24BC" w:rsidRPr="00762814" w:rsidRDefault="007E24BC" w:rsidP="001A783E">
      <w:pPr>
        <w:spacing w:after="0" w:line="276" w:lineRule="auto"/>
        <w:rPr>
          <w:rFonts w:cstheme="minorHAnsi"/>
          <w:sz w:val="24"/>
          <w:szCs w:val="24"/>
        </w:rPr>
      </w:pPr>
      <w:r w:rsidRPr="007E24BC">
        <w:rPr>
          <w:rFonts w:cstheme="minorHAnsi"/>
          <w:sz w:val="24"/>
          <w:szCs w:val="24"/>
        </w:rPr>
        <w:t>Zgodnie z kryterium „</w:t>
      </w:r>
      <w:r>
        <w:rPr>
          <w:rFonts w:cstheme="minorHAnsi"/>
          <w:sz w:val="24"/>
          <w:szCs w:val="24"/>
        </w:rPr>
        <w:t>Projekt</w:t>
      </w:r>
      <w:r w:rsidRPr="007E24BC">
        <w:rPr>
          <w:rFonts w:cstheme="minorHAnsi"/>
          <w:sz w:val="24"/>
          <w:szCs w:val="24"/>
        </w:rPr>
        <w:t xml:space="preserve"> nie dotyczy działalności wykluczonych ze wsparcia” </w:t>
      </w:r>
      <w:r w:rsidR="00A305FE">
        <w:rPr>
          <w:rFonts w:cstheme="minorHAnsi"/>
          <w:sz w:val="24"/>
          <w:szCs w:val="24"/>
        </w:rPr>
        <w:t>p</w:t>
      </w:r>
      <w:r>
        <w:rPr>
          <w:rFonts w:cstheme="minorHAnsi"/>
          <w:sz w:val="24"/>
          <w:szCs w:val="24"/>
        </w:rPr>
        <w:t>rojekt</w:t>
      </w:r>
      <w:r w:rsidRPr="007E24BC">
        <w:rPr>
          <w:rFonts w:cstheme="minorHAnsi"/>
          <w:sz w:val="24"/>
          <w:szCs w:val="24"/>
        </w:rPr>
        <w:t xml:space="preserve"> nie może dotyczyć rozwiązań mających zastosowanie wyłącznie</w:t>
      </w:r>
      <w:r w:rsidR="00A305FE">
        <w:rPr>
          <w:rFonts w:cstheme="minorHAnsi"/>
          <w:sz w:val="24"/>
          <w:szCs w:val="24"/>
        </w:rPr>
        <w:t xml:space="preserve"> </w:t>
      </w:r>
      <w:r w:rsidRPr="007E24BC">
        <w:rPr>
          <w:rFonts w:cstheme="minorHAnsi"/>
          <w:sz w:val="24"/>
          <w:szCs w:val="24"/>
        </w:rPr>
        <w:t xml:space="preserve">militarne. </w:t>
      </w:r>
    </w:p>
    <w:p w14:paraId="22B33B28" w14:textId="1DEC9F31" w:rsidR="005D11BA" w:rsidRPr="00930477" w:rsidRDefault="00416CA5" w:rsidP="00753895">
      <w:pPr>
        <w:pStyle w:val="Nagwek3"/>
        <w:spacing w:before="360" w:after="120" w:line="276" w:lineRule="auto"/>
        <w:rPr>
          <w:rFonts w:asciiTheme="minorHAnsi" w:hAnsiTheme="minorHAnsi" w:cstheme="minorHAnsi"/>
          <w:color w:val="auto"/>
          <w:sz w:val="32"/>
        </w:rPr>
      </w:pPr>
      <w:bookmarkStart w:id="9" w:name="_Toc126756782"/>
      <w:bookmarkStart w:id="10" w:name="_Toc202174364"/>
      <w:bookmarkEnd w:id="8"/>
      <w:r w:rsidRPr="00930477">
        <w:rPr>
          <w:rFonts w:asciiTheme="minorHAnsi" w:hAnsiTheme="minorHAnsi" w:cstheme="minorHAnsi"/>
          <w:color w:val="auto"/>
          <w:sz w:val="32"/>
        </w:rPr>
        <w:t>1.2 Zasady kwalifikowalności</w:t>
      </w:r>
      <w:r w:rsidR="00E029C1" w:rsidRPr="00930477">
        <w:rPr>
          <w:rFonts w:asciiTheme="minorHAnsi" w:hAnsiTheme="minorHAnsi" w:cstheme="minorHAnsi"/>
          <w:color w:val="auto"/>
          <w:sz w:val="32"/>
        </w:rPr>
        <w:t xml:space="preserve"> podatku VAT</w:t>
      </w:r>
      <w:bookmarkEnd w:id="9"/>
      <w:bookmarkEnd w:id="10"/>
      <w:r w:rsidRPr="00930477">
        <w:rPr>
          <w:rFonts w:asciiTheme="minorHAnsi" w:hAnsiTheme="minorHAnsi" w:cstheme="minorHAnsi"/>
          <w:color w:val="auto"/>
          <w:sz w:val="32"/>
        </w:rPr>
        <w:t xml:space="preserve"> </w:t>
      </w:r>
    </w:p>
    <w:p w14:paraId="598AF4DA" w14:textId="75F4C075" w:rsidR="001746B4" w:rsidRPr="00762814" w:rsidRDefault="00C04500" w:rsidP="009779A7">
      <w:pPr>
        <w:spacing w:after="120" w:line="276" w:lineRule="auto"/>
        <w:rPr>
          <w:rFonts w:cstheme="minorHAnsi"/>
          <w:sz w:val="24"/>
          <w:szCs w:val="24"/>
        </w:rPr>
      </w:pPr>
      <w:r w:rsidRPr="00762814">
        <w:rPr>
          <w:rFonts w:cstheme="minorHAnsi"/>
          <w:sz w:val="24"/>
          <w:szCs w:val="24"/>
        </w:rPr>
        <w:t xml:space="preserve">Podatek VAT </w:t>
      </w:r>
      <w:r w:rsidR="00F2568E" w:rsidRPr="00762814">
        <w:rPr>
          <w:rFonts w:cstheme="minorHAnsi"/>
          <w:sz w:val="24"/>
          <w:szCs w:val="24"/>
        </w:rPr>
        <w:t xml:space="preserve">co do zasady </w:t>
      </w:r>
      <w:r w:rsidRPr="00762814">
        <w:rPr>
          <w:rFonts w:cstheme="minorHAnsi"/>
          <w:sz w:val="24"/>
          <w:szCs w:val="24"/>
        </w:rPr>
        <w:t>stanowi wydatek niekwalifikowalny w projekcie.</w:t>
      </w:r>
    </w:p>
    <w:p w14:paraId="666C0E9F" w14:textId="6EBD5AAD" w:rsidR="006052CA" w:rsidRDefault="00F2568E" w:rsidP="006052CA">
      <w:pPr>
        <w:spacing w:after="120" w:line="276" w:lineRule="auto"/>
        <w:rPr>
          <w:rFonts w:cstheme="minorHAnsi"/>
          <w:sz w:val="24"/>
          <w:szCs w:val="24"/>
        </w:rPr>
      </w:pPr>
      <w:r w:rsidRPr="00762814">
        <w:rPr>
          <w:rFonts w:cstheme="minorHAnsi"/>
          <w:sz w:val="24"/>
          <w:szCs w:val="24"/>
        </w:rPr>
        <w:t>Podatek VAT może stanowić wydatek kwalifikowalny w ramach projektu tylko wtedy, gdy</w:t>
      </w:r>
      <w:r w:rsidR="00A305FE">
        <w:rPr>
          <w:rFonts w:cstheme="minorHAnsi"/>
          <w:sz w:val="24"/>
          <w:szCs w:val="24"/>
        </w:rPr>
        <w:t xml:space="preserve"> </w:t>
      </w:r>
      <w:r w:rsidR="006052CA">
        <w:rPr>
          <w:rFonts w:cstheme="minorHAnsi"/>
          <w:sz w:val="24"/>
          <w:szCs w:val="24"/>
        </w:rPr>
        <w:t>w</w:t>
      </w:r>
      <w:r w:rsidRPr="006052CA">
        <w:rPr>
          <w:rFonts w:cstheme="minorHAnsi"/>
          <w:sz w:val="24"/>
          <w:szCs w:val="24"/>
        </w:rPr>
        <w:t>nioskodawc</w:t>
      </w:r>
      <w:r w:rsidR="0076291E" w:rsidRPr="006052CA">
        <w:rPr>
          <w:rFonts w:cstheme="minorHAnsi"/>
          <w:sz w:val="24"/>
          <w:szCs w:val="24"/>
        </w:rPr>
        <w:t>y</w:t>
      </w:r>
      <w:r w:rsidRPr="006052CA">
        <w:rPr>
          <w:rFonts w:cstheme="minorHAnsi"/>
          <w:sz w:val="24"/>
          <w:szCs w:val="24"/>
        </w:rPr>
        <w:t xml:space="preserve"> </w:t>
      </w:r>
      <w:r w:rsidR="006052CA" w:rsidRPr="006052CA">
        <w:rPr>
          <w:rFonts w:cstheme="minorHAnsi"/>
          <w:sz w:val="24"/>
          <w:szCs w:val="24"/>
        </w:rPr>
        <w:t>zgodnie z obowiązującym prawodawstwem krajowym, nie przysługuje prawo do obniżenia kwoty podatku należnego o kwotę podatku naliczonego lub ubiegania się o zwrot podatku VAT. Posiadanie wyżej wymienionego prawa (potencjalnej prawnej możliwości) wyklucza uznanie wydatku za kwalifikowalny, nawet jeśli faktycznie zwrot nie nastąpił, np. ze względu na niepodjęcie przez beneficjenta czynności zmierzających do realizacji tego prawa.</w:t>
      </w:r>
    </w:p>
    <w:p w14:paraId="7DC78AC9" w14:textId="74D3AB26" w:rsidR="0076291E" w:rsidRPr="00151815" w:rsidRDefault="006052CA" w:rsidP="006052CA">
      <w:pPr>
        <w:spacing w:after="120" w:line="276" w:lineRule="auto"/>
        <w:rPr>
          <w:rFonts w:cstheme="minorHAnsi"/>
          <w:sz w:val="24"/>
          <w:szCs w:val="24"/>
        </w:rPr>
      </w:pPr>
      <w:r w:rsidRPr="006052CA">
        <w:rPr>
          <w:rFonts w:cstheme="minorHAnsi"/>
          <w:sz w:val="24"/>
          <w:szCs w:val="24"/>
        </w:rPr>
        <w:lastRenderedPageBreak/>
        <w:t>Kwalifikowalność VAT jest badana odrębnie w odniesieniu do każdego z  podmiotów</w:t>
      </w:r>
      <w:r>
        <w:rPr>
          <w:rFonts w:cstheme="minorHAnsi"/>
          <w:sz w:val="24"/>
          <w:szCs w:val="24"/>
        </w:rPr>
        <w:t xml:space="preserve"> zaangażowanych w realizację projektu </w:t>
      </w:r>
      <w:r w:rsidRPr="006052CA">
        <w:rPr>
          <w:rFonts w:cstheme="minorHAnsi"/>
          <w:sz w:val="24"/>
          <w:szCs w:val="24"/>
        </w:rPr>
        <w:t>.</w:t>
      </w:r>
      <w:bookmarkStart w:id="11" w:name="_Hlk126049005"/>
    </w:p>
    <w:bookmarkEnd w:id="11"/>
    <w:p w14:paraId="6873A966" w14:textId="3F69E968" w:rsidR="008852EB" w:rsidRPr="00762814" w:rsidRDefault="008852EB" w:rsidP="00762814">
      <w:pPr>
        <w:spacing w:after="120" w:line="276" w:lineRule="auto"/>
        <w:rPr>
          <w:rFonts w:cstheme="minorHAnsi"/>
          <w:sz w:val="24"/>
          <w:szCs w:val="24"/>
        </w:rPr>
      </w:pPr>
      <w:r w:rsidRPr="00762814">
        <w:rPr>
          <w:rFonts w:cstheme="minorHAnsi"/>
          <w:sz w:val="24"/>
          <w:szCs w:val="24"/>
        </w:rPr>
        <w:t xml:space="preserve">Za posiadanie prawa do obniżenia kwoty podatku należnego o kwotę podatku naliczonego, o którym mowa </w:t>
      </w:r>
      <w:r w:rsidR="00EB2FA4" w:rsidRPr="00762814">
        <w:rPr>
          <w:rFonts w:cstheme="minorHAnsi"/>
          <w:sz w:val="24"/>
          <w:szCs w:val="24"/>
        </w:rPr>
        <w:t>powyżej</w:t>
      </w:r>
      <w:r w:rsidRPr="00762814">
        <w:rPr>
          <w:rFonts w:cstheme="minorHAnsi"/>
          <w:sz w:val="24"/>
          <w:szCs w:val="24"/>
        </w:rPr>
        <w:t>, nie uznaje się możliwości określonej w art. 113 ustawy z dnia 11 marca 2004 r. o podatku od towarów i usług</w:t>
      </w:r>
      <w:r w:rsidR="00D325E0">
        <w:rPr>
          <w:rFonts w:cstheme="minorHAnsi"/>
          <w:sz w:val="24"/>
          <w:szCs w:val="24"/>
        </w:rPr>
        <w:t xml:space="preserve"> </w:t>
      </w:r>
      <w:r w:rsidR="004D58EC" w:rsidRPr="00151815">
        <w:t>(Dz.U. z 2025 r. poz. 775)</w:t>
      </w:r>
      <w:r w:rsidR="00EB2FA4" w:rsidRPr="00762814">
        <w:rPr>
          <w:rFonts w:cstheme="minorHAnsi"/>
          <w:sz w:val="24"/>
          <w:szCs w:val="24"/>
        </w:rPr>
        <w:t xml:space="preserve">, </w:t>
      </w:r>
      <w:r w:rsidRPr="00762814">
        <w:rPr>
          <w:rFonts w:cstheme="minorHAnsi"/>
          <w:sz w:val="24"/>
          <w:szCs w:val="24"/>
        </w:rPr>
        <w:t>ani przypadku wskazanego w art. 90 ust. 10 pkt 2 tej ustawy.</w:t>
      </w:r>
    </w:p>
    <w:p w14:paraId="5AEFA8CA" w14:textId="19E12428" w:rsidR="00A23B26" w:rsidRPr="00930477" w:rsidRDefault="00722C21" w:rsidP="00941ED8">
      <w:pPr>
        <w:pStyle w:val="Nagwek2"/>
        <w:numPr>
          <w:ilvl w:val="0"/>
          <w:numId w:val="10"/>
        </w:numPr>
        <w:spacing w:before="360" w:after="120" w:line="276" w:lineRule="auto"/>
        <w:ind w:left="714" w:hanging="357"/>
        <w:rPr>
          <w:rFonts w:asciiTheme="minorHAnsi" w:hAnsiTheme="minorHAnsi" w:cstheme="minorHAnsi"/>
          <w:b/>
          <w:color w:val="auto"/>
          <w:sz w:val="36"/>
          <w:szCs w:val="36"/>
        </w:rPr>
      </w:pPr>
      <w:bookmarkStart w:id="12" w:name="_Toc124327538"/>
      <w:bookmarkStart w:id="13" w:name="_Toc124328095"/>
      <w:bookmarkStart w:id="14" w:name="_Toc124329368"/>
      <w:bookmarkStart w:id="15" w:name="_Toc124327539"/>
      <w:bookmarkStart w:id="16" w:name="_Toc124328096"/>
      <w:bookmarkStart w:id="17" w:name="_Toc124329369"/>
      <w:bookmarkStart w:id="18" w:name="_Toc124327540"/>
      <w:bookmarkStart w:id="19" w:name="_Toc124328097"/>
      <w:bookmarkStart w:id="20" w:name="_Toc124329370"/>
      <w:bookmarkStart w:id="21" w:name="_Toc124327541"/>
      <w:bookmarkStart w:id="22" w:name="_Toc124328098"/>
      <w:bookmarkStart w:id="23" w:name="_Toc124329371"/>
      <w:bookmarkStart w:id="24" w:name="_Toc124327542"/>
      <w:bookmarkStart w:id="25" w:name="_Toc124328099"/>
      <w:bookmarkStart w:id="26" w:name="_Toc124329372"/>
      <w:bookmarkStart w:id="27" w:name="_Toc126756783"/>
      <w:bookmarkStart w:id="28" w:name="_Toc202174365"/>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930477">
        <w:rPr>
          <w:rFonts w:asciiTheme="minorHAnsi" w:hAnsiTheme="minorHAnsi" w:cstheme="minorHAnsi"/>
          <w:b/>
          <w:color w:val="auto"/>
          <w:sz w:val="36"/>
          <w:szCs w:val="36"/>
        </w:rPr>
        <w:t>Wkład własny</w:t>
      </w:r>
      <w:bookmarkEnd w:id="27"/>
      <w:bookmarkEnd w:id="28"/>
    </w:p>
    <w:p w14:paraId="372B39CE" w14:textId="76193D62" w:rsidR="00A23B26" w:rsidRPr="00762814" w:rsidRDefault="00A23B26" w:rsidP="00903E67">
      <w:pPr>
        <w:spacing w:before="240" w:after="120" w:line="276" w:lineRule="auto"/>
        <w:rPr>
          <w:rFonts w:cstheme="minorHAnsi"/>
          <w:sz w:val="24"/>
          <w:szCs w:val="24"/>
        </w:rPr>
      </w:pPr>
      <w:r w:rsidRPr="00762814">
        <w:rPr>
          <w:rFonts w:cstheme="minorHAnsi"/>
          <w:sz w:val="24"/>
          <w:szCs w:val="24"/>
        </w:rPr>
        <w:t xml:space="preserve">Wnioskodawca jest zobowiązany do wniesienia wkładu własnego w zadeklarowanej wysokości na pokrycie części kosztów kwalifikowalnych w projekcie. </w:t>
      </w:r>
    </w:p>
    <w:p w14:paraId="1A1D6012" w14:textId="2C60CA11" w:rsidR="00983B16" w:rsidRPr="00762814" w:rsidRDefault="00A23B26" w:rsidP="00762814">
      <w:pPr>
        <w:spacing w:after="120" w:line="276" w:lineRule="auto"/>
        <w:rPr>
          <w:rFonts w:cstheme="minorHAnsi"/>
          <w:sz w:val="24"/>
          <w:szCs w:val="24"/>
        </w:rPr>
      </w:pPr>
      <w:r w:rsidRPr="00762814">
        <w:rPr>
          <w:rFonts w:cstheme="minorHAnsi"/>
          <w:sz w:val="24"/>
          <w:szCs w:val="24"/>
        </w:rPr>
        <w:t xml:space="preserve">Wkład własny może zostać wniesiony wyłącznie w formie pieniężnej (rozchód środków finansowych z rachunku lub kasy w trakcie trwania projektu). </w:t>
      </w:r>
      <w:r w:rsidR="004E1D30" w:rsidRPr="00762814">
        <w:rPr>
          <w:rFonts w:cstheme="minorHAnsi"/>
          <w:sz w:val="24"/>
          <w:szCs w:val="24"/>
        </w:rPr>
        <w:t xml:space="preserve">Wkład własny </w:t>
      </w:r>
      <w:r w:rsidR="00251477" w:rsidRPr="00762814">
        <w:rPr>
          <w:rFonts w:cstheme="minorHAnsi"/>
          <w:sz w:val="24"/>
          <w:szCs w:val="24"/>
        </w:rPr>
        <w:t xml:space="preserve">Wnioskodawcy </w:t>
      </w:r>
      <w:r w:rsidR="004E1D30" w:rsidRPr="00762814">
        <w:rPr>
          <w:rFonts w:cstheme="minorHAnsi"/>
          <w:sz w:val="24"/>
          <w:szCs w:val="24"/>
        </w:rPr>
        <w:t xml:space="preserve"> nie może pochodzić ze środków publicznych, w tym dotacji/subwencji z budżetu państwa </w:t>
      </w:r>
      <w:r w:rsidR="007F1D90" w:rsidRPr="00762814">
        <w:rPr>
          <w:rFonts w:cstheme="minorHAnsi"/>
          <w:sz w:val="24"/>
          <w:szCs w:val="24"/>
        </w:rPr>
        <w:br/>
      </w:r>
      <w:r w:rsidR="004E1D30" w:rsidRPr="00762814">
        <w:rPr>
          <w:rFonts w:cstheme="minorHAnsi"/>
          <w:sz w:val="24"/>
          <w:szCs w:val="24"/>
        </w:rPr>
        <w:t>i budżetu jednostek samorządu terytorialnego.</w:t>
      </w:r>
      <w:r w:rsidRPr="00762814">
        <w:rPr>
          <w:rFonts w:cstheme="minorHAnsi"/>
          <w:sz w:val="24"/>
          <w:szCs w:val="24"/>
        </w:rPr>
        <w:t xml:space="preserve"> </w:t>
      </w:r>
      <w:r w:rsidR="004E1D30" w:rsidRPr="00762814">
        <w:rPr>
          <w:rFonts w:cstheme="minorHAnsi"/>
          <w:sz w:val="24"/>
          <w:szCs w:val="24"/>
        </w:rPr>
        <w:t xml:space="preserve">Oznacza to środki finansowe wnoszone przez </w:t>
      </w:r>
      <w:r w:rsidR="00251477" w:rsidRPr="00762814">
        <w:rPr>
          <w:rFonts w:cstheme="minorHAnsi"/>
          <w:sz w:val="24"/>
          <w:szCs w:val="24"/>
        </w:rPr>
        <w:t>Wnioskodawc</w:t>
      </w:r>
      <w:r w:rsidR="00EC635E" w:rsidRPr="00762814">
        <w:rPr>
          <w:rFonts w:cstheme="minorHAnsi"/>
          <w:sz w:val="24"/>
          <w:szCs w:val="24"/>
        </w:rPr>
        <w:t>ę</w:t>
      </w:r>
      <w:r w:rsidR="004E1D30" w:rsidRPr="00762814">
        <w:rPr>
          <w:rFonts w:cstheme="minorHAnsi"/>
          <w:sz w:val="24"/>
          <w:szCs w:val="24"/>
        </w:rPr>
        <w:t xml:space="preserve">, które zostaną przeznaczone na pokrycie wydatków kwalifikowalnych i które nie zostaną </w:t>
      </w:r>
      <w:r w:rsidR="00251477" w:rsidRPr="00762814">
        <w:rPr>
          <w:rFonts w:cstheme="minorHAnsi"/>
          <w:sz w:val="24"/>
          <w:szCs w:val="24"/>
        </w:rPr>
        <w:t xml:space="preserve">Wnioskodawcy </w:t>
      </w:r>
      <w:r w:rsidR="004E1D30" w:rsidRPr="00762814">
        <w:rPr>
          <w:rFonts w:cstheme="minorHAnsi"/>
          <w:sz w:val="24"/>
          <w:szCs w:val="24"/>
        </w:rPr>
        <w:t xml:space="preserve">przekazane w formie dofinansowania (różnica między kwotą wydatków kwalifikowalnych a kwotą dofinansowania przekazaną </w:t>
      </w:r>
      <w:r w:rsidR="00251477" w:rsidRPr="00762814">
        <w:rPr>
          <w:rFonts w:cstheme="minorHAnsi"/>
          <w:sz w:val="24"/>
          <w:szCs w:val="24"/>
        </w:rPr>
        <w:t>Wnioskodawcy</w:t>
      </w:r>
      <w:r w:rsidR="004E1D30" w:rsidRPr="00762814">
        <w:rPr>
          <w:rFonts w:cstheme="minorHAnsi"/>
          <w:sz w:val="24"/>
          <w:szCs w:val="24"/>
        </w:rPr>
        <w:t>).</w:t>
      </w:r>
    </w:p>
    <w:p w14:paraId="1DDF84E7" w14:textId="73935A4A" w:rsidR="002550C9" w:rsidRPr="00762814" w:rsidRDefault="002550C9" w:rsidP="00762814">
      <w:pPr>
        <w:spacing w:line="276" w:lineRule="auto"/>
        <w:rPr>
          <w:rFonts w:cstheme="minorHAnsi"/>
          <w:b/>
          <w:bCs/>
          <w:sz w:val="24"/>
          <w:szCs w:val="24"/>
        </w:rPr>
      </w:pPr>
      <w:r w:rsidRPr="00762814">
        <w:rPr>
          <w:rFonts w:cstheme="minorHAnsi"/>
          <w:b/>
          <w:bCs/>
          <w:sz w:val="24"/>
          <w:szCs w:val="24"/>
        </w:rPr>
        <w:br w:type="page"/>
      </w:r>
    </w:p>
    <w:p w14:paraId="4EC7E6BE" w14:textId="1D9C1F3A" w:rsidR="00A23B26" w:rsidRPr="00930477" w:rsidRDefault="00722C21" w:rsidP="00941ED8">
      <w:pPr>
        <w:pStyle w:val="Nagwek2"/>
        <w:numPr>
          <w:ilvl w:val="0"/>
          <w:numId w:val="10"/>
        </w:numPr>
        <w:tabs>
          <w:tab w:val="left" w:pos="5954"/>
        </w:tabs>
        <w:spacing w:line="276" w:lineRule="auto"/>
        <w:ind w:left="714" w:hanging="357"/>
        <w:rPr>
          <w:rFonts w:asciiTheme="minorHAnsi" w:hAnsiTheme="minorHAnsi" w:cstheme="minorHAnsi"/>
          <w:b/>
          <w:color w:val="auto"/>
          <w:sz w:val="36"/>
          <w:szCs w:val="36"/>
        </w:rPr>
      </w:pPr>
      <w:bookmarkStart w:id="29" w:name="_Toc126756784"/>
      <w:bookmarkStart w:id="30" w:name="_Toc202174366"/>
      <w:r w:rsidRPr="00930477">
        <w:rPr>
          <w:rFonts w:asciiTheme="minorHAnsi" w:hAnsiTheme="minorHAnsi" w:cstheme="minorHAnsi"/>
          <w:b/>
          <w:color w:val="auto"/>
          <w:sz w:val="36"/>
          <w:szCs w:val="36"/>
        </w:rPr>
        <w:lastRenderedPageBreak/>
        <w:t xml:space="preserve">Wydatki kwalifikowalne </w:t>
      </w:r>
      <w:r w:rsidR="00D50E9C">
        <w:rPr>
          <w:rFonts w:asciiTheme="minorHAnsi" w:hAnsiTheme="minorHAnsi" w:cstheme="minorHAnsi"/>
          <w:b/>
          <w:color w:val="auto"/>
          <w:sz w:val="36"/>
          <w:szCs w:val="36"/>
        </w:rPr>
        <w:t>w projekcie</w:t>
      </w:r>
      <w:r w:rsidR="008C08B0">
        <w:rPr>
          <w:rFonts w:asciiTheme="minorHAnsi" w:hAnsiTheme="minorHAnsi" w:cstheme="minorHAnsi"/>
          <w:b/>
          <w:color w:val="auto"/>
          <w:sz w:val="36"/>
          <w:szCs w:val="36"/>
        </w:rPr>
        <w:t xml:space="preserve"> w ramach Regionalnej </w:t>
      </w:r>
      <w:r w:rsidR="00753895">
        <w:rPr>
          <w:rFonts w:asciiTheme="minorHAnsi" w:hAnsiTheme="minorHAnsi" w:cstheme="minorHAnsi"/>
          <w:b/>
          <w:color w:val="auto"/>
          <w:sz w:val="36"/>
          <w:szCs w:val="36"/>
        </w:rPr>
        <w:t>p</w:t>
      </w:r>
      <w:r w:rsidR="008C08B0">
        <w:rPr>
          <w:rFonts w:asciiTheme="minorHAnsi" w:hAnsiTheme="minorHAnsi" w:cstheme="minorHAnsi"/>
          <w:b/>
          <w:color w:val="auto"/>
          <w:sz w:val="36"/>
          <w:szCs w:val="36"/>
        </w:rPr>
        <w:t xml:space="preserve">omocy </w:t>
      </w:r>
      <w:r w:rsidR="00753895">
        <w:rPr>
          <w:rFonts w:asciiTheme="minorHAnsi" w:hAnsiTheme="minorHAnsi" w:cstheme="minorHAnsi"/>
          <w:b/>
          <w:color w:val="auto"/>
          <w:sz w:val="36"/>
          <w:szCs w:val="36"/>
        </w:rPr>
        <w:t>i</w:t>
      </w:r>
      <w:r w:rsidR="008C08B0">
        <w:rPr>
          <w:rFonts w:asciiTheme="minorHAnsi" w:hAnsiTheme="minorHAnsi" w:cstheme="minorHAnsi"/>
          <w:b/>
          <w:color w:val="auto"/>
          <w:sz w:val="36"/>
          <w:szCs w:val="36"/>
        </w:rPr>
        <w:t>nwestycyjnej</w:t>
      </w:r>
      <w:bookmarkEnd w:id="29"/>
      <w:bookmarkEnd w:id="30"/>
    </w:p>
    <w:p w14:paraId="459B6969" w14:textId="7F78C5A5" w:rsidR="00A23B26" w:rsidRPr="00930477" w:rsidRDefault="001357F3" w:rsidP="006718AF">
      <w:pPr>
        <w:pStyle w:val="Nagwek3"/>
        <w:spacing w:before="360" w:after="120" w:line="276" w:lineRule="auto"/>
        <w:ind w:left="426" w:hanging="426"/>
        <w:rPr>
          <w:rFonts w:asciiTheme="minorHAnsi" w:hAnsiTheme="minorHAnsi" w:cstheme="minorHAnsi"/>
          <w:color w:val="auto"/>
          <w:sz w:val="32"/>
        </w:rPr>
      </w:pPr>
      <w:bookmarkStart w:id="31" w:name="_Toc126756785"/>
      <w:bookmarkStart w:id="32" w:name="_Toc202174367"/>
      <w:r w:rsidRPr="00930477">
        <w:rPr>
          <w:rFonts w:asciiTheme="minorHAnsi" w:hAnsiTheme="minorHAnsi" w:cstheme="minorHAnsi"/>
          <w:color w:val="auto"/>
          <w:sz w:val="32"/>
        </w:rPr>
        <w:t>3</w:t>
      </w:r>
      <w:r w:rsidR="0010269C" w:rsidRPr="00930477">
        <w:rPr>
          <w:rFonts w:asciiTheme="minorHAnsi" w:hAnsiTheme="minorHAnsi" w:cstheme="minorHAnsi"/>
          <w:color w:val="auto"/>
          <w:sz w:val="32"/>
        </w:rPr>
        <w:t xml:space="preserve">.1 </w:t>
      </w:r>
      <w:r w:rsidR="00A23B26" w:rsidRPr="00930477">
        <w:rPr>
          <w:rFonts w:asciiTheme="minorHAnsi" w:hAnsiTheme="minorHAnsi" w:cstheme="minorHAnsi"/>
          <w:color w:val="auto"/>
          <w:sz w:val="32"/>
        </w:rPr>
        <w:t>Pomoc publiczna</w:t>
      </w:r>
      <w:bookmarkEnd w:id="31"/>
      <w:bookmarkEnd w:id="32"/>
    </w:p>
    <w:p w14:paraId="7627B5BC" w14:textId="2E9255ED" w:rsidR="00A23B26" w:rsidRPr="00753895" w:rsidRDefault="00A23B26" w:rsidP="00762814">
      <w:pPr>
        <w:spacing w:after="120" w:line="276" w:lineRule="auto"/>
        <w:rPr>
          <w:rFonts w:cstheme="minorHAnsi"/>
          <w:color w:val="000000" w:themeColor="text1"/>
          <w:sz w:val="24"/>
          <w:szCs w:val="24"/>
        </w:rPr>
      </w:pPr>
      <w:r w:rsidRPr="00753895">
        <w:rPr>
          <w:rFonts w:cstheme="minorHAnsi"/>
          <w:color w:val="000000" w:themeColor="text1"/>
          <w:sz w:val="24"/>
          <w:szCs w:val="24"/>
        </w:rPr>
        <w:t xml:space="preserve">Wnioskodawca może uzyskać wsparcie w </w:t>
      </w:r>
      <w:r w:rsidR="008C08B0" w:rsidRPr="00753895">
        <w:rPr>
          <w:rFonts w:cstheme="minorHAnsi"/>
          <w:color w:val="000000" w:themeColor="text1"/>
          <w:sz w:val="24"/>
          <w:szCs w:val="24"/>
        </w:rPr>
        <w:t xml:space="preserve">projekcie </w:t>
      </w:r>
      <w:r w:rsidRPr="00753895">
        <w:rPr>
          <w:rFonts w:cstheme="minorHAnsi"/>
          <w:color w:val="000000" w:themeColor="text1"/>
          <w:sz w:val="24"/>
          <w:szCs w:val="24"/>
        </w:rPr>
        <w:t>na podstawie</w:t>
      </w:r>
      <w:r w:rsidR="00922E2A" w:rsidRPr="00753895">
        <w:rPr>
          <w:rFonts w:cstheme="minorHAnsi"/>
          <w:color w:val="000000" w:themeColor="text1"/>
          <w:sz w:val="24"/>
          <w:szCs w:val="24"/>
        </w:rPr>
        <w:t xml:space="preserve"> </w:t>
      </w:r>
      <w:r w:rsidRPr="00753895">
        <w:rPr>
          <w:rFonts w:cstheme="minorHAnsi"/>
          <w:b/>
          <w:bCs/>
          <w:color w:val="000000" w:themeColor="text1"/>
          <w:sz w:val="24"/>
          <w:szCs w:val="24"/>
        </w:rPr>
        <w:t xml:space="preserve">art. </w:t>
      </w:r>
      <w:r w:rsidR="008C08B0" w:rsidRPr="00753895">
        <w:rPr>
          <w:rFonts w:cstheme="minorHAnsi"/>
          <w:b/>
          <w:bCs/>
          <w:color w:val="000000" w:themeColor="text1"/>
          <w:sz w:val="24"/>
          <w:szCs w:val="24"/>
        </w:rPr>
        <w:t>14</w:t>
      </w:r>
      <w:r w:rsidR="00E94A55" w:rsidRPr="00753895">
        <w:rPr>
          <w:rFonts w:cstheme="minorHAnsi"/>
          <w:b/>
          <w:bCs/>
          <w:color w:val="000000" w:themeColor="text1"/>
          <w:sz w:val="24"/>
          <w:szCs w:val="24"/>
        </w:rPr>
        <w:t xml:space="preserve"> </w:t>
      </w:r>
      <w:r w:rsidR="00147FB5" w:rsidRPr="00753895">
        <w:rPr>
          <w:rFonts w:cstheme="minorHAnsi"/>
          <w:b/>
          <w:bCs/>
          <w:color w:val="000000" w:themeColor="text1"/>
          <w:sz w:val="24"/>
          <w:szCs w:val="24"/>
        </w:rPr>
        <w:t>r</w:t>
      </w:r>
      <w:r w:rsidR="006D2820" w:rsidRPr="00753895">
        <w:rPr>
          <w:rFonts w:cstheme="minorHAnsi"/>
          <w:b/>
          <w:bCs/>
          <w:color w:val="000000" w:themeColor="text1"/>
          <w:sz w:val="24"/>
          <w:szCs w:val="24"/>
        </w:rPr>
        <w:t xml:space="preserve">ozporządzenia </w:t>
      </w:r>
      <w:r w:rsidR="008209D2" w:rsidRPr="00753895">
        <w:rPr>
          <w:rFonts w:cstheme="minorHAnsi"/>
          <w:b/>
          <w:bCs/>
          <w:color w:val="000000" w:themeColor="text1"/>
          <w:sz w:val="24"/>
          <w:szCs w:val="24"/>
        </w:rPr>
        <w:t>Komisji (UE) nr</w:t>
      </w:r>
      <w:r w:rsidR="008209D2" w:rsidRPr="00753895">
        <w:rPr>
          <w:rFonts w:cstheme="minorHAnsi"/>
          <w:color w:val="000000" w:themeColor="text1"/>
          <w:sz w:val="24"/>
          <w:szCs w:val="24"/>
        </w:rPr>
        <w:t xml:space="preserve"> </w:t>
      </w:r>
      <w:r w:rsidR="006D2820" w:rsidRPr="00753895">
        <w:rPr>
          <w:rFonts w:cstheme="minorHAnsi"/>
          <w:b/>
          <w:bCs/>
          <w:color w:val="000000" w:themeColor="text1"/>
          <w:sz w:val="24"/>
          <w:szCs w:val="24"/>
        </w:rPr>
        <w:t>651/2014</w:t>
      </w:r>
      <w:r w:rsidR="009944E8" w:rsidRPr="00753895">
        <w:rPr>
          <w:rFonts w:cstheme="minorHAnsi"/>
          <w:color w:val="000000" w:themeColor="text1"/>
          <w:sz w:val="24"/>
          <w:szCs w:val="24"/>
        </w:rPr>
        <w:t>.</w:t>
      </w:r>
      <w:r w:rsidR="001F2A8A" w:rsidRPr="00753895">
        <w:rPr>
          <w:rFonts w:cstheme="minorHAnsi"/>
          <w:color w:val="000000" w:themeColor="text1"/>
          <w:sz w:val="24"/>
          <w:szCs w:val="24"/>
        </w:rPr>
        <w:t xml:space="preserve"> </w:t>
      </w:r>
    </w:p>
    <w:p w14:paraId="6C73F045" w14:textId="30DBAF4B" w:rsidR="00A23B26" w:rsidRPr="00753895" w:rsidRDefault="001C65E4" w:rsidP="006718AF">
      <w:pPr>
        <w:pStyle w:val="Nagwek3"/>
        <w:spacing w:before="360" w:after="120" w:line="276" w:lineRule="auto"/>
        <w:ind w:left="426" w:hanging="426"/>
        <w:rPr>
          <w:rFonts w:asciiTheme="minorHAnsi" w:hAnsiTheme="minorHAnsi" w:cstheme="minorHAnsi"/>
          <w:color w:val="000000" w:themeColor="text1"/>
          <w:sz w:val="32"/>
        </w:rPr>
      </w:pPr>
      <w:bookmarkStart w:id="33" w:name="_Hlk193190657"/>
      <w:bookmarkStart w:id="34" w:name="_Toc126756786"/>
      <w:bookmarkStart w:id="35" w:name="_Toc202174368"/>
      <w:r w:rsidRPr="00753895">
        <w:rPr>
          <w:rFonts w:asciiTheme="minorHAnsi" w:hAnsiTheme="minorHAnsi" w:cstheme="minorHAnsi"/>
          <w:color w:val="000000" w:themeColor="text1"/>
          <w:sz w:val="32"/>
        </w:rPr>
        <w:t>3</w:t>
      </w:r>
      <w:r w:rsidR="0010269C" w:rsidRPr="00753895">
        <w:rPr>
          <w:rFonts w:asciiTheme="minorHAnsi" w:hAnsiTheme="minorHAnsi" w:cstheme="minorHAnsi"/>
          <w:color w:val="000000" w:themeColor="text1"/>
          <w:sz w:val="32"/>
        </w:rPr>
        <w:t xml:space="preserve">.2 </w:t>
      </w:r>
      <w:bookmarkEnd w:id="33"/>
      <w:r w:rsidR="00A23B26" w:rsidRPr="00753895">
        <w:rPr>
          <w:rFonts w:asciiTheme="minorHAnsi" w:hAnsiTheme="minorHAnsi" w:cstheme="minorHAnsi"/>
          <w:color w:val="000000" w:themeColor="text1"/>
          <w:sz w:val="32"/>
        </w:rPr>
        <w:t>Limity</w:t>
      </w:r>
      <w:r w:rsidR="00C70668" w:rsidRPr="00753895">
        <w:rPr>
          <w:rFonts w:asciiTheme="minorHAnsi" w:hAnsiTheme="minorHAnsi" w:cstheme="minorHAnsi"/>
          <w:color w:val="000000" w:themeColor="text1"/>
          <w:sz w:val="32"/>
        </w:rPr>
        <w:t xml:space="preserve"> wydatków kwalifikowa</w:t>
      </w:r>
      <w:r w:rsidRPr="00753895">
        <w:rPr>
          <w:rFonts w:asciiTheme="minorHAnsi" w:hAnsiTheme="minorHAnsi" w:cstheme="minorHAnsi"/>
          <w:color w:val="000000" w:themeColor="text1"/>
          <w:sz w:val="32"/>
        </w:rPr>
        <w:t>l</w:t>
      </w:r>
      <w:r w:rsidR="00C70668" w:rsidRPr="00753895">
        <w:rPr>
          <w:rFonts w:asciiTheme="minorHAnsi" w:hAnsiTheme="minorHAnsi" w:cstheme="minorHAnsi"/>
          <w:color w:val="000000" w:themeColor="text1"/>
          <w:sz w:val="32"/>
        </w:rPr>
        <w:t>nych oraz limity dofinansowania</w:t>
      </w:r>
      <w:bookmarkEnd w:id="34"/>
      <w:bookmarkEnd w:id="35"/>
    </w:p>
    <w:p w14:paraId="6FFDB421" w14:textId="77DC2C03" w:rsidR="00B041DF" w:rsidRPr="00753895" w:rsidRDefault="00B041DF" w:rsidP="00753895">
      <w:pPr>
        <w:spacing w:after="120" w:line="276" w:lineRule="auto"/>
        <w:rPr>
          <w:rFonts w:cstheme="minorHAnsi"/>
          <w:b/>
          <w:bCs/>
          <w:color w:val="000000" w:themeColor="text1"/>
          <w:sz w:val="24"/>
          <w:szCs w:val="24"/>
        </w:rPr>
      </w:pPr>
      <w:r w:rsidRPr="00753895">
        <w:rPr>
          <w:rFonts w:cstheme="minorHAnsi"/>
          <w:b/>
          <w:bCs/>
          <w:color w:val="000000" w:themeColor="text1"/>
          <w:sz w:val="24"/>
          <w:szCs w:val="24"/>
        </w:rPr>
        <w:t>Intensywność pomocy</w:t>
      </w:r>
      <w:r w:rsidRPr="00753895">
        <w:rPr>
          <w:rFonts w:cstheme="minorHAnsi"/>
          <w:color w:val="000000" w:themeColor="text1"/>
          <w:sz w:val="24"/>
          <w:szCs w:val="24"/>
        </w:rPr>
        <w:t xml:space="preserve"> nie może przekroczyć limitów intensywności wsparcia wskazanych w rozporządzeniu Rady Ministrów z dnia 14 grudnia 2021 r. w sprawie ustalenia mapy pomocy regionalnej na lata 2022-2027 (Dz. U. poz. 2422) w przypadku </w:t>
      </w:r>
      <w:r w:rsidRPr="00753895">
        <w:rPr>
          <w:rFonts w:cstheme="minorHAnsi"/>
          <w:b/>
          <w:bCs/>
          <w:color w:val="000000" w:themeColor="text1"/>
          <w:sz w:val="24"/>
          <w:szCs w:val="24"/>
        </w:rPr>
        <w:t>Regionalnej pomocy inwestycyjnej</w:t>
      </w:r>
      <w:r w:rsidR="00611A7D" w:rsidRPr="00151815">
        <w:rPr>
          <w:rStyle w:val="Odwoanieprzypisudolnego"/>
          <w:rFonts w:cstheme="minorHAnsi"/>
          <w:color w:val="000000" w:themeColor="text1"/>
          <w:sz w:val="24"/>
          <w:szCs w:val="24"/>
        </w:rPr>
        <w:footnoteReference w:id="5"/>
      </w:r>
      <w:r w:rsidR="00611A7D">
        <w:rPr>
          <w:rFonts w:cstheme="minorHAnsi"/>
          <w:color w:val="000000" w:themeColor="text1"/>
          <w:sz w:val="24"/>
          <w:szCs w:val="24"/>
        </w:rPr>
        <w:t xml:space="preserve">. </w:t>
      </w:r>
    </w:p>
    <w:p w14:paraId="52CA3873" w14:textId="3E5CABE1" w:rsidR="005B4481" w:rsidRPr="009779A7" w:rsidRDefault="00B041DF" w:rsidP="000A6D84">
      <w:pPr>
        <w:spacing w:after="120" w:line="276" w:lineRule="auto"/>
        <w:rPr>
          <w:rFonts w:cstheme="minorHAnsi"/>
          <w:color w:val="000000" w:themeColor="text1"/>
          <w:sz w:val="24"/>
          <w:szCs w:val="24"/>
        </w:rPr>
      </w:pPr>
      <w:r w:rsidRPr="00753895">
        <w:rPr>
          <w:rFonts w:cstheme="minorHAnsi"/>
          <w:color w:val="000000" w:themeColor="text1"/>
          <w:sz w:val="24"/>
          <w:szCs w:val="24"/>
        </w:rPr>
        <w:t xml:space="preserve">Intensywność wsparcia w regionalnej pomocy inwestycyjnej w poszczególnych regionach dla poszczególnych kategorii przedsiębiorców została przedstawiona w Tabeli nr </w:t>
      </w:r>
      <w:r w:rsidR="00B44F6D" w:rsidRPr="00753895">
        <w:rPr>
          <w:rFonts w:cstheme="minorHAnsi"/>
          <w:color w:val="000000" w:themeColor="text1"/>
          <w:sz w:val="24"/>
          <w:szCs w:val="24"/>
        </w:rPr>
        <w:t>1</w:t>
      </w:r>
      <w:r w:rsidRPr="00753895">
        <w:rPr>
          <w:rFonts w:cstheme="minorHAnsi"/>
          <w:color w:val="000000" w:themeColor="text1"/>
          <w:sz w:val="24"/>
          <w:szCs w:val="24"/>
        </w:rPr>
        <w:t>.</w:t>
      </w:r>
    </w:p>
    <w:p w14:paraId="7A8380EE" w14:textId="356B56AF" w:rsidR="00017C96" w:rsidRPr="00017C96" w:rsidRDefault="00017C96" w:rsidP="00017C96">
      <w:pPr>
        <w:pStyle w:val="Akapitzlist"/>
        <w:numPr>
          <w:ilvl w:val="0"/>
          <w:numId w:val="38"/>
        </w:numPr>
        <w:spacing w:after="0" w:line="276" w:lineRule="auto"/>
        <w:rPr>
          <w:rFonts w:cstheme="minorHAnsi"/>
          <w:sz w:val="24"/>
          <w:szCs w:val="24"/>
        </w:rPr>
      </w:pPr>
      <w:r w:rsidRPr="00017C96">
        <w:rPr>
          <w:rFonts w:cstheme="minorHAnsi"/>
          <w:sz w:val="24"/>
          <w:szCs w:val="24"/>
        </w:rPr>
        <w:t>W przypadku pomocy przyznanej dużym przedsiębior</w:t>
      </w:r>
      <w:r w:rsidR="00D325E0">
        <w:rPr>
          <w:rFonts w:cstheme="minorHAnsi"/>
          <w:sz w:val="24"/>
          <w:szCs w:val="24"/>
        </w:rPr>
        <w:t>com</w:t>
      </w:r>
      <w:r w:rsidRPr="00017C96">
        <w:rPr>
          <w:rFonts w:cstheme="minorHAnsi"/>
          <w:sz w:val="24"/>
          <w:szCs w:val="24"/>
        </w:rPr>
        <w:t xml:space="preserve"> na zasadniczą zmianę procesu</w:t>
      </w:r>
      <w:r>
        <w:rPr>
          <w:rFonts w:cstheme="minorHAnsi"/>
          <w:sz w:val="24"/>
          <w:szCs w:val="24"/>
        </w:rPr>
        <w:t xml:space="preserve"> </w:t>
      </w:r>
      <w:r w:rsidRPr="00017C96">
        <w:rPr>
          <w:rFonts w:cstheme="minorHAnsi"/>
          <w:sz w:val="24"/>
          <w:szCs w:val="24"/>
        </w:rPr>
        <w:t>produkcji koszty kwalifikowalne muszą przekraczać koszty amortyzacji aktywów związanych</w:t>
      </w:r>
      <w:r>
        <w:rPr>
          <w:rFonts w:cstheme="minorHAnsi"/>
          <w:sz w:val="24"/>
          <w:szCs w:val="24"/>
        </w:rPr>
        <w:t xml:space="preserve"> </w:t>
      </w:r>
      <w:r w:rsidR="00D325E0">
        <w:rPr>
          <w:rFonts w:cstheme="minorHAnsi"/>
          <w:sz w:val="24"/>
          <w:szCs w:val="24"/>
        </w:rPr>
        <w:t xml:space="preserve">produkcją, której dotyczy zmiana, </w:t>
      </w:r>
      <w:r w:rsidRPr="00017C96">
        <w:rPr>
          <w:rFonts w:cstheme="minorHAnsi"/>
          <w:sz w:val="24"/>
          <w:szCs w:val="24"/>
        </w:rPr>
        <w:t xml:space="preserve">w </w:t>
      </w:r>
      <w:r w:rsidR="00D325E0">
        <w:rPr>
          <w:rFonts w:cstheme="minorHAnsi"/>
          <w:sz w:val="24"/>
          <w:szCs w:val="24"/>
        </w:rPr>
        <w:t>okresie poprzednich</w:t>
      </w:r>
      <w:r w:rsidRPr="00017C96">
        <w:rPr>
          <w:rFonts w:cstheme="minorHAnsi"/>
          <w:sz w:val="24"/>
          <w:szCs w:val="24"/>
        </w:rPr>
        <w:t xml:space="preserve"> 3 obrotowych.</w:t>
      </w:r>
    </w:p>
    <w:p w14:paraId="42DCF93F" w14:textId="71B2FC3C" w:rsidR="00266F9F" w:rsidRPr="00481499" w:rsidRDefault="00266F9F" w:rsidP="00017C96">
      <w:pPr>
        <w:pStyle w:val="Akapitzlist"/>
        <w:numPr>
          <w:ilvl w:val="0"/>
          <w:numId w:val="38"/>
        </w:numPr>
        <w:spacing w:after="120" w:line="276" w:lineRule="auto"/>
        <w:rPr>
          <w:rFonts w:cstheme="minorHAnsi"/>
          <w:sz w:val="24"/>
          <w:szCs w:val="24"/>
        </w:rPr>
      </w:pPr>
      <w:r w:rsidRPr="00017C96">
        <w:rPr>
          <w:rFonts w:cstheme="minorHAnsi"/>
          <w:sz w:val="24"/>
          <w:szCs w:val="24"/>
        </w:rPr>
        <w:t>W przypadku pomocy przyznanej na dywersyfikację istniejącego zakładu koszty kwalifikowalne muszą przekraczać o co najmniej 200% wartość księgową ponownie wykorzystywanych aktywów, odnotowaną w roku obrotowym poprzedzającym rozpoczęcie prac.</w:t>
      </w:r>
    </w:p>
    <w:p w14:paraId="12E65F48" w14:textId="326DE32D" w:rsidR="00266F9F" w:rsidRPr="00481499" w:rsidRDefault="00266F9F" w:rsidP="00017C96">
      <w:pPr>
        <w:pStyle w:val="Akapitzlist"/>
        <w:numPr>
          <w:ilvl w:val="0"/>
          <w:numId w:val="38"/>
        </w:numPr>
        <w:spacing w:after="120" w:line="276" w:lineRule="auto"/>
        <w:rPr>
          <w:rFonts w:cstheme="minorHAnsi"/>
          <w:sz w:val="24"/>
        </w:rPr>
      </w:pPr>
      <w:r w:rsidRPr="00481499">
        <w:rPr>
          <w:rFonts w:cstheme="minorHAnsi"/>
          <w:sz w:val="24"/>
          <w:szCs w:val="24"/>
        </w:rPr>
        <w:t xml:space="preserve">Wnioskodawca jest zobowiązany do wniesienia wkładu własnego na poziomie co najmniej 25% wartości kosztów kwalifikowalnych </w:t>
      </w:r>
      <w:r w:rsidRPr="00481499">
        <w:rPr>
          <w:rFonts w:cstheme="minorHAnsi"/>
          <w:b/>
          <w:bCs/>
          <w:sz w:val="24"/>
          <w:szCs w:val="24"/>
        </w:rPr>
        <w:t>objętych dofinansowaniem w ramach regionalnej pomocy inwestycyjnej</w:t>
      </w:r>
      <w:r w:rsidRPr="00481499">
        <w:rPr>
          <w:rFonts w:cstheme="minorHAnsi"/>
          <w:sz w:val="24"/>
          <w:szCs w:val="24"/>
        </w:rPr>
        <w:t>, w formie środków finansowych wolnych od publicznego wsparcia.</w:t>
      </w:r>
    </w:p>
    <w:p w14:paraId="5FD38CA1" w14:textId="132EBCF2" w:rsidR="00A70776" w:rsidRDefault="00A23B26" w:rsidP="00941ED8">
      <w:pPr>
        <w:pStyle w:val="Nagwek3"/>
        <w:numPr>
          <w:ilvl w:val="1"/>
          <w:numId w:val="11"/>
        </w:numPr>
        <w:spacing w:before="360" w:line="276" w:lineRule="auto"/>
        <w:rPr>
          <w:rFonts w:asciiTheme="minorHAnsi" w:hAnsiTheme="minorHAnsi" w:cstheme="minorHAnsi"/>
          <w:color w:val="000000" w:themeColor="text1"/>
          <w:sz w:val="32"/>
        </w:rPr>
      </w:pPr>
      <w:bookmarkStart w:id="36" w:name="_Toc199237313"/>
      <w:bookmarkStart w:id="37" w:name="_Toc199255892"/>
      <w:bookmarkStart w:id="38" w:name="_Toc199255966"/>
      <w:bookmarkStart w:id="39" w:name="_Toc199256040"/>
      <w:bookmarkStart w:id="40" w:name="_Toc199256114"/>
      <w:bookmarkStart w:id="41" w:name="_Toc199312247"/>
      <w:bookmarkStart w:id="42" w:name="_Toc199312314"/>
      <w:bookmarkStart w:id="43" w:name="_Toc199394781"/>
      <w:bookmarkStart w:id="44" w:name="_Toc199409452"/>
      <w:bookmarkStart w:id="45" w:name="_Toc199410138"/>
      <w:bookmarkStart w:id="46" w:name="_Toc199419485"/>
      <w:bookmarkStart w:id="47" w:name="_Toc199486348"/>
      <w:bookmarkStart w:id="48" w:name="_Toc199489060"/>
      <w:bookmarkStart w:id="49" w:name="_Toc199489312"/>
      <w:bookmarkStart w:id="50" w:name="_Toc199495036"/>
      <w:bookmarkStart w:id="51" w:name="_Toc199495107"/>
      <w:bookmarkStart w:id="52" w:name="_Toc199237314"/>
      <w:bookmarkStart w:id="53" w:name="_Toc199255893"/>
      <w:bookmarkStart w:id="54" w:name="_Toc199255967"/>
      <w:bookmarkStart w:id="55" w:name="_Toc199256041"/>
      <w:bookmarkStart w:id="56" w:name="_Toc199256115"/>
      <w:bookmarkStart w:id="57" w:name="_Toc199312248"/>
      <w:bookmarkStart w:id="58" w:name="_Toc199312315"/>
      <w:bookmarkStart w:id="59" w:name="_Toc199394782"/>
      <w:bookmarkStart w:id="60" w:name="_Toc199409453"/>
      <w:bookmarkStart w:id="61" w:name="_Toc199410139"/>
      <w:bookmarkStart w:id="62" w:name="_Toc199419486"/>
      <w:bookmarkStart w:id="63" w:name="_Toc199486349"/>
      <w:bookmarkStart w:id="64" w:name="_Toc199489061"/>
      <w:bookmarkStart w:id="65" w:name="_Toc199489313"/>
      <w:bookmarkStart w:id="66" w:name="_Toc199495037"/>
      <w:bookmarkStart w:id="67" w:name="_Toc199495108"/>
      <w:bookmarkStart w:id="68" w:name="_Toc199237315"/>
      <w:bookmarkStart w:id="69" w:name="_Toc199255894"/>
      <w:bookmarkStart w:id="70" w:name="_Toc199255968"/>
      <w:bookmarkStart w:id="71" w:name="_Toc199256042"/>
      <w:bookmarkStart w:id="72" w:name="_Toc199256116"/>
      <w:bookmarkStart w:id="73" w:name="_Toc199312249"/>
      <w:bookmarkStart w:id="74" w:name="_Toc199312316"/>
      <w:bookmarkStart w:id="75" w:name="_Toc199394783"/>
      <w:bookmarkStart w:id="76" w:name="_Toc199409454"/>
      <w:bookmarkStart w:id="77" w:name="_Toc199410140"/>
      <w:bookmarkStart w:id="78" w:name="_Toc199419487"/>
      <w:bookmarkStart w:id="79" w:name="_Toc199486350"/>
      <w:bookmarkStart w:id="80" w:name="_Toc199489062"/>
      <w:bookmarkStart w:id="81" w:name="_Toc199489314"/>
      <w:bookmarkStart w:id="82" w:name="_Toc199495038"/>
      <w:bookmarkStart w:id="83" w:name="_Toc199495109"/>
      <w:bookmarkStart w:id="84" w:name="_Toc199237316"/>
      <w:bookmarkStart w:id="85" w:name="_Toc199255895"/>
      <w:bookmarkStart w:id="86" w:name="_Toc199255969"/>
      <w:bookmarkStart w:id="87" w:name="_Toc199256043"/>
      <w:bookmarkStart w:id="88" w:name="_Toc199256117"/>
      <w:bookmarkStart w:id="89" w:name="_Toc199312250"/>
      <w:bookmarkStart w:id="90" w:name="_Toc199312317"/>
      <w:bookmarkStart w:id="91" w:name="_Toc199394784"/>
      <w:bookmarkStart w:id="92" w:name="_Toc199409455"/>
      <w:bookmarkStart w:id="93" w:name="_Toc199410141"/>
      <w:bookmarkStart w:id="94" w:name="_Toc199419488"/>
      <w:bookmarkStart w:id="95" w:name="_Toc199486351"/>
      <w:bookmarkStart w:id="96" w:name="_Toc199489063"/>
      <w:bookmarkStart w:id="97" w:name="_Toc199489315"/>
      <w:bookmarkStart w:id="98" w:name="_Toc199495039"/>
      <w:bookmarkStart w:id="99" w:name="_Toc199495110"/>
      <w:bookmarkStart w:id="100" w:name="_Toc199237317"/>
      <w:bookmarkStart w:id="101" w:name="_Toc199255896"/>
      <w:bookmarkStart w:id="102" w:name="_Toc199255970"/>
      <w:bookmarkStart w:id="103" w:name="_Toc199256044"/>
      <w:bookmarkStart w:id="104" w:name="_Toc199256118"/>
      <w:bookmarkStart w:id="105" w:name="_Toc199312251"/>
      <w:bookmarkStart w:id="106" w:name="_Toc199312318"/>
      <w:bookmarkStart w:id="107" w:name="_Toc199394785"/>
      <w:bookmarkStart w:id="108" w:name="_Toc199409456"/>
      <w:bookmarkStart w:id="109" w:name="_Toc199410142"/>
      <w:bookmarkStart w:id="110" w:name="_Toc199419489"/>
      <w:bookmarkStart w:id="111" w:name="_Toc199486352"/>
      <w:bookmarkStart w:id="112" w:name="_Toc199489064"/>
      <w:bookmarkStart w:id="113" w:name="_Toc199489316"/>
      <w:bookmarkStart w:id="114" w:name="_Toc199495040"/>
      <w:bookmarkStart w:id="115" w:name="_Toc199495111"/>
      <w:bookmarkStart w:id="116" w:name="_Toc199237318"/>
      <w:bookmarkStart w:id="117" w:name="_Toc199255897"/>
      <w:bookmarkStart w:id="118" w:name="_Toc199255971"/>
      <w:bookmarkStart w:id="119" w:name="_Toc199256045"/>
      <w:bookmarkStart w:id="120" w:name="_Toc199256119"/>
      <w:bookmarkStart w:id="121" w:name="_Toc199312252"/>
      <w:bookmarkStart w:id="122" w:name="_Toc199312319"/>
      <w:bookmarkStart w:id="123" w:name="_Toc199394786"/>
      <w:bookmarkStart w:id="124" w:name="_Toc199409457"/>
      <w:bookmarkStart w:id="125" w:name="_Toc199410143"/>
      <w:bookmarkStart w:id="126" w:name="_Toc199419490"/>
      <w:bookmarkStart w:id="127" w:name="_Toc199486353"/>
      <w:bookmarkStart w:id="128" w:name="_Toc199489065"/>
      <w:bookmarkStart w:id="129" w:name="_Toc199489317"/>
      <w:bookmarkStart w:id="130" w:name="_Toc199495041"/>
      <w:bookmarkStart w:id="131" w:name="_Toc199495112"/>
      <w:bookmarkStart w:id="132" w:name="_Toc199237319"/>
      <w:bookmarkStart w:id="133" w:name="_Toc199255898"/>
      <w:bookmarkStart w:id="134" w:name="_Toc199255972"/>
      <w:bookmarkStart w:id="135" w:name="_Toc199256046"/>
      <w:bookmarkStart w:id="136" w:name="_Toc199256120"/>
      <w:bookmarkStart w:id="137" w:name="_Toc199312253"/>
      <w:bookmarkStart w:id="138" w:name="_Toc199312320"/>
      <w:bookmarkStart w:id="139" w:name="_Toc199394787"/>
      <w:bookmarkStart w:id="140" w:name="_Toc199409458"/>
      <w:bookmarkStart w:id="141" w:name="_Toc199410144"/>
      <w:bookmarkStart w:id="142" w:name="_Toc199419491"/>
      <w:bookmarkStart w:id="143" w:name="_Toc199486354"/>
      <w:bookmarkStart w:id="144" w:name="_Toc199489066"/>
      <w:bookmarkStart w:id="145" w:name="_Toc199489318"/>
      <w:bookmarkStart w:id="146" w:name="_Toc199495042"/>
      <w:bookmarkStart w:id="147" w:name="_Toc199495113"/>
      <w:bookmarkStart w:id="148" w:name="_Toc199237320"/>
      <w:bookmarkStart w:id="149" w:name="_Toc199255899"/>
      <w:bookmarkStart w:id="150" w:name="_Toc199255973"/>
      <w:bookmarkStart w:id="151" w:name="_Toc199256047"/>
      <w:bookmarkStart w:id="152" w:name="_Toc199256121"/>
      <w:bookmarkStart w:id="153" w:name="_Toc199312254"/>
      <w:bookmarkStart w:id="154" w:name="_Toc199312321"/>
      <w:bookmarkStart w:id="155" w:name="_Toc199394788"/>
      <w:bookmarkStart w:id="156" w:name="_Toc199409459"/>
      <w:bookmarkStart w:id="157" w:name="_Toc199410145"/>
      <w:bookmarkStart w:id="158" w:name="_Toc199419492"/>
      <w:bookmarkStart w:id="159" w:name="_Toc199486355"/>
      <w:bookmarkStart w:id="160" w:name="_Toc199489067"/>
      <w:bookmarkStart w:id="161" w:name="_Toc199489319"/>
      <w:bookmarkStart w:id="162" w:name="_Toc199495043"/>
      <w:bookmarkStart w:id="163" w:name="_Toc199495114"/>
      <w:bookmarkStart w:id="164" w:name="_Toc199237321"/>
      <w:bookmarkStart w:id="165" w:name="_Toc199255900"/>
      <w:bookmarkStart w:id="166" w:name="_Toc199255974"/>
      <w:bookmarkStart w:id="167" w:name="_Toc199256048"/>
      <w:bookmarkStart w:id="168" w:name="_Toc199256122"/>
      <w:bookmarkStart w:id="169" w:name="_Toc199312255"/>
      <w:bookmarkStart w:id="170" w:name="_Toc199312322"/>
      <w:bookmarkStart w:id="171" w:name="_Toc199394789"/>
      <w:bookmarkStart w:id="172" w:name="_Toc199409460"/>
      <w:bookmarkStart w:id="173" w:name="_Toc199410146"/>
      <w:bookmarkStart w:id="174" w:name="_Toc199419493"/>
      <w:bookmarkStart w:id="175" w:name="_Toc199486356"/>
      <w:bookmarkStart w:id="176" w:name="_Toc199489068"/>
      <w:bookmarkStart w:id="177" w:name="_Toc199489320"/>
      <w:bookmarkStart w:id="178" w:name="_Toc199495044"/>
      <w:bookmarkStart w:id="179" w:name="_Toc199495115"/>
      <w:bookmarkStart w:id="180" w:name="_Toc199237322"/>
      <w:bookmarkStart w:id="181" w:name="_Toc199255901"/>
      <w:bookmarkStart w:id="182" w:name="_Toc199255975"/>
      <w:bookmarkStart w:id="183" w:name="_Toc199256049"/>
      <w:bookmarkStart w:id="184" w:name="_Toc199256123"/>
      <w:bookmarkStart w:id="185" w:name="_Toc199312256"/>
      <w:bookmarkStart w:id="186" w:name="_Toc199312323"/>
      <w:bookmarkStart w:id="187" w:name="_Toc199394790"/>
      <w:bookmarkStart w:id="188" w:name="_Toc199409461"/>
      <w:bookmarkStart w:id="189" w:name="_Toc199410147"/>
      <w:bookmarkStart w:id="190" w:name="_Toc199419494"/>
      <w:bookmarkStart w:id="191" w:name="_Toc199486357"/>
      <w:bookmarkStart w:id="192" w:name="_Toc199489069"/>
      <w:bookmarkStart w:id="193" w:name="_Toc199489321"/>
      <w:bookmarkStart w:id="194" w:name="_Toc199495045"/>
      <w:bookmarkStart w:id="195" w:name="_Toc199495116"/>
      <w:bookmarkStart w:id="196" w:name="_Toc199237323"/>
      <w:bookmarkStart w:id="197" w:name="_Toc199255902"/>
      <w:bookmarkStart w:id="198" w:name="_Toc199255976"/>
      <w:bookmarkStart w:id="199" w:name="_Toc199256050"/>
      <w:bookmarkStart w:id="200" w:name="_Toc199256124"/>
      <w:bookmarkStart w:id="201" w:name="_Toc199312257"/>
      <w:bookmarkStart w:id="202" w:name="_Toc199312324"/>
      <w:bookmarkStart w:id="203" w:name="_Toc199394791"/>
      <w:bookmarkStart w:id="204" w:name="_Toc199409462"/>
      <w:bookmarkStart w:id="205" w:name="_Toc199410148"/>
      <w:bookmarkStart w:id="206" w:name="_Toc199419495"/>
      <w:bookmarkStart w:id="207" w:name="_Toc199486358"/>
      <w:bookmarkStart w:id="208" w:name="_Toc199489070"/>
      <w:bookmarkStart w:id="209" w:name="_Toc199489322"/>
      <w:bookmarkStart w:id="210" w:name="_Toc199495046"/>
      <w:bookmarkStart w:id="211" w:name="_Toc199495117"/>
      <w:bookmarkStart w:id="212" w:name="_Toc199237324"/>
      <w:bookmarkStart w:id="213" w:name="_Toc199255903"/>
      <w:bookmarkStart w:id="214" w:name="_Toc199255977"/>
      <w:bookmarkStart w:id="215" w:name="_Toc199256051"/>
      <w:bookmarkStart w:id="216" w:name="_Toc199256125"/>
      <w:bookmarkStart w:id="217" w:name="_Toc199312258"/>
      <w:bookmarkStart w:id="218" w:name="_Toc199312325"/>
      <w:bookmarkStart w:id="219" w:name="_Toc199394792"/>
      <w:bookmarkStart w:id="220" w:name="_Toc199409463"/>
      <w:bookmarkStart w:id="221" w:name="_Toc199410149"/>
      <w:bookmarkStart w:id="222" w:name="_Toc199419496"/>
      <w:bookmarkStart w:id="223" w:name="_Toc199486359"/>
      <w:bookmarkStart w:id="224" w:name="_Toc199489071"/>
      <w:bookmarkStart w:id="225" w:name="_Toc199489323"/>
      <w:bookmarkStart w:id="226" w:name="_Toc199495047"/>
      <w:bookmarkStart w:id="227" w:name="_Toc199495118"/>
      <w:bookmarkStart w:id="228" w:name="_Toc199237325"/>
      <w:bookmarkStart w:id="229" w:name="_Toc199255904"/>
      <w:bookmarkStart w:id="230" w:name="_Toc199255978"/>
      <w:bookmarkStart w:id="231" w:name="_Toc199256052"/>
      <w:bookmarkStart w:id="232" w:name="_Toc199256126"/>
      <w:bookmarkStart w:id="233" w:name="_Toc199312259"/>
      <w:bookmarkStart w:id="234" w:name="_Toc199312326"/>
      <w:bookmarkStart w:id="235" w:name="_Toc199394793"/>
      <w:bookmarkStart w:id="236" w:name="_Toc199409464"/>
      <w:bookmarkStart w:id="237" w:name="_Toc199410150"/>
      <w:bookmarkStart w:id="238" w:name="_Toc199419497"/>
      <w:bookmarkStart w:id="239" w:name="_Toc199486360"/>
      <w:bookmarkStart w:id="240" w:name="_Toc199489072"/>
      <w:bookmarkStart w:id="241" w:name="_Toc199489324"/>
      <w:bookmarkStart w:id="242" w:name="_Toc199495048"/>
      <w:bookmarkStart w:id="243" w:name="_Toc199495119"/>
      <w:bookmarkStart w:id="244" w:name="_Toc199237326"/>
      <w:bookmarkStart w:id="245" w:name="_Toc199255905"/>
      <w:bookmarkStart w:id="246" w:name="_Toc199255979"/>
      <w:bookmarkStart w:id="247" w:name="_Toc199256053"/>
      <w:bookmarkStart w:id="248" w:name="_Toc199256127"/>
      <w:bookmarkStart w:id="249" w:name="_Toc199312260"/>
      <w:bookmarkStart w:id="250" w:name="_Toc199312327"/>
      <w:bookmarkStart w:id="251" w:name="_Toc199394794"/>
      <w:bookmarkStart w:id="252" w:name="_Toc199409465"/>
      <w:bookmarkStart w:id="253" w:name="_Toc199410151"/>
      <w:bookmarkStart w:id="254" w:name="_Toc199419498"/>
      <w:bookmarkStart w:id="255" w:name="_Toc199486361"/>
      <w:bookmarkStart w:id="256" w:name="_Toc199489073"/>
      <w:bookmarkStart w:id="257" w:name="_Toc199489325"/>
      <w:bookmarkStart w:id="258" w:name="_Toc199495049"/>
      <w:bookmarkStart w:id="259" w:name="_Toc199495120"/>
      <w:bookmarkStart w:id="260" w:name="_Toc199237327"/>
      <w:bookmarkStart w:id="261" w:name="_Toc199255906"/>
      <w:bookmarkStart w:id="262" w:name="_Toc199255980"/>
      <w:bookmarkStart w:id="263" w:name="_Toc199256054"/>
      <w:bookmarkStart w:id="264" w:name="_Toc199256128"/>
      <w:bookmarkStart w:id="265" w:name="_Toc199312261"/>
      <w:bookmarkStart w:id="266" w:name="_Toc199312328"/>
      <w:bookmarkStart w:id="267" w:name="_Toc199394795"/>
      <w:bookmarkStart w:id="268" w:name="_Toc199409466"/>
      <w:bookmarkStart w:id="269" w:name="_Toc199410152"/>
      <w:bookmarkStart w:id="270" w:name="_Toc199419499"/>
      <w:bookmarkStart w:id="271" w:name="_Toc199486362"/>
      <w:bookmarkStart w:id="272" w:name="_Toc199489074"/>
      <w:bookmarkStart w:id="273" w:name="_Toc199489326"/>
      <w:bookmarkStart w:id="274" w:name="_Toc199495050"/>
      <w:bookmarkStart w:id="275" w:name="_Toc199495121"/>
      <w:bookmarkStart w:id="276" w:name="_Toc199237328"/>
      <w:bookmarkStart w:id="277" w:name="_Toc199255907"/>
      <w:bookmarkStart w:id="278" w:name="_Toc199255981"/>
      <w:bookmarkStart w:id="279" w:name="_Toc199256055"/>
      <w:bookmarkStart w:id="280" w:name="_Toc199256129"/>
      <w:bookmarkStart w:id="281" w:name="_Toc199312262"/>
      <w:bookmarkStart w:id="282" w:name="_Toc199312329"/>
      <w:bookmarkStart w:id="283" w:name="_Toc199394796"/>
      <w:bookmarkStart w:id="284" w:name="_Toc199409467"/>
      <w:bookmarkStart w:id="285" w:name="_Toc199410153"/>
      <w:bookmarkStart w:id="286" w:name="_Toc199419500"/>
      <w:bookmarkStart w:id="287" w:name="_Toc199486363"/>
      <w:bookmarkStart w:id="288" w:name="_Toc199489075"/>
      <w:bookmarkStart w:id="289" w:name="_Toc199489327"/>
      <w:bookmarkStart w:id="290" w:name="_Toc199495051"/>
      <w:bookmarkStart w:id="291" w:name="_Toc199495122"/>
      <w:bookmarkStart w:id="292" w:name="_Toc199237329"/>
      <w:bookmarkStart w:id="293" w:name="_Toc199255908"/>
      <w:bookmarkStart w:id="294" w:name="_Toc199255982"/>
      <w:bookmarkStart w:id="295" w:name="_Toc199256056"/>
      <w:bookmarkStart w:id="296" w:name="_Toc199256130"/>
      <w:bookmarkStart w:id="297" w:name="_Toc199312263"/>
      <w:bookmarkStart w:id="298" w:name="_Toc199312330"/>
      <w:bookmarkStart w:id="299" w:name="_Toc199394797"/>
      <w:bookmarkStart w:id="300" w:name="_Toc199409468"/>
      <w:bookmarkStart w:id="301" w:name="_Toc199410154"/>
      <w:bookmarkStart w:id="302" w:name="_Toc199419501"/>
      <w:bookmarkStart w:id="303" w:name="_Toc199486364"/>
      <w:bookmarkStart w:id="304" w:name="_Toc199489076"/>
      <w:bookmarkStart w:id="305" w:name="_Toc199489328"/>
      <w:bookmarkStart w:id="306" w:name="_Toc199495052"/>
      <w:bookmarkStart w:id="307" w:name="_Toc199495123"/>
      <w:bookmarkStart w:id="308" w:name="_Toc199237330"/>
      <w:bookmarkStart w:id="309" w:name="_Toc199255909"/>
      <w:bookmarkStart w:id="310" w:name="_Toc199255983"/>
      <w:bookmarkStart w:id="311" w:name="_Toc199256057"/>
      <w:bookmarkStart w:id="312" w:name="_Toc199256131"/>
      <w:bookmarkStart w:id="313" w:name="_Toc199312264"/>
      <w:bookmarkStart w:id="314" w:name="_Toc199312331"/>
      <w:bookmarkStart w:id="315" w:name="_Toc199394798"/>
      <w:bookmarkStart w:id="316" w:name="_Toc199409469"/>
      <w:bookmarkStart w:id="317" w:name="_Toc199410155"/>
      <w:bookmarkStart w:id="318" w:name="_Toc199419502"/>
      <w:bookmarkStart w:id="319" w:name="_Toc199486365"/>
      <w:bookmarkStart w:id="320" w:name="_Toc199489077"/>
      <w:bookmarkStart w:id="321" w:name="_Toc199489329"/>
      <w:bookmarkStart w:id="322" w:name="_Toc199495053"/>
      <w:bookmarkStart w:id="323" w:name="_Toc199495124"/>
      <w:bookmarkStart w:id="324" w:name="_Toc199237331"/>
      <w:bookmarkStart w:id="325" w:name="_Toc199255910"/>
      <w:bookmarkStart w:id="326" w:name="_Toc199255984"/>
      <w:bookmarkStart w:id="327" w:name="_Toc199256058"/>
      <w:bookmarkStart w:id="328" w:name="_Toc199256132"/>
      <w:bookmarkStart w:id="329" w:name="_Toc199312265"/>
      <w:bookmarkStart w:id="330" w:name="_Toc199312332"/>
      <w:bookmarkStart w:id="331" w:name="_Toc199394799"/>
      <w:bookmarkStart w:id="332" w:name="_Toc199409470"/>
      <w:bookmarkStart w:id="333" w:name="_Toc199410156"/>
      <w:bookmarkStart w:id="334" w:name="_Toc199419503"/>
      <w:bookmarkStart w:id="335" w:name="_Toc199486366"/>
      <w:bookmarkStart w:id="336" w:name="_Toc199489078"/>
      <w:bookmarkStart w:id="337" w:name="_Toc199489330"/>
      <w:bookmarkStart w:id="338" w:name="_Toc199495054"/>
      <w:bookmarkStart w:id="339" w:name="_Toc199495125"/>
      <w:bookmarkStart w:id="340" w:name="_Toc199237332"/>
      <w:bookmarkStart w:id="341" w:name="_Toc199255911"/>
      <w:bookmarkStart w:id="342" w:name="_Toc199255985"/>
      <w:bookmarkStart w:id="343" w:name="_Toc199256059"/>
      <w:bookmarkStart w:id="344" w:name="_Toc199256133"/>
      <w:bookmarkStart w:id="345" w:name="_Toc199312266"/>
      <w:bookmarkStart w:id="346" w:name="_Toc199312333"/>
      <w:bookmarkStart w:id="347" w:name="_Toc199394800"/>
      <w:bookmarkStart w:id="348" w:name="_Toc199409471"/>
      <w:bookmarkStart w:id="349" w:name="_Toc199410157"/>
      <w:bookmarkStart w:id="350" w:name="_Toc199419504"/>
      <w:bookmarkStart w:id="351" w:name="_Toc199486367"/>
      <w:bookmarkStart w:id="352" w:name="_Toc199489079"/>
      <w:bookmarkStart w:id="353" w:name="_Toc199489331"/>
      <w:bookmarkStart w:id="354" w:name="_Toc199495055"/>
      <w:bookmarkStart w:id="355" w:name="_Toc199495126"/>
      <w:bookmarkStart w:id="356" w:name="_Toc199237333"/>
      <w:bookmarkStart w:id="357" w:name="_Toc199255912"/>
      <w:bookmarkStart w:id="358" w:name="_Toc199255986"/>
      <w:bookmarkStart w:id="359" w:name="_Toc199256060"/>
      <w:bookmarkStart w:id="360" w:name="_Toc199256134"/>
      <w:bookmarkStart w:id="361" w:name="_Toc199312267"/>
      <w:bookmarkStart w:id="362" w:name="_Toc199312334"/>
      <w:bookmarkStart w:id="363" w:name="_Toc199394801"/>
      <w:bookmarkStart w:id="364" w:name="_Toc199409472"/>
      <w:bookmarkStart w:id="365" w:name="_Toc199410158"/>
      <w:bookmarkStart w:id="366" w:name="_Toc199419505"/>
      <w:bookmarkStart w:id="367" w:name="_Toc199486368"/>
      <w:bookmarkStart w:id="368" w:name="_Toc199489080"/>
      <w:bookmarkStart w:id="369" w:name="_Toc199489332"/>
      <w:bookmarkStart w:id="370" w:name="_Toc199495056"/>
      <w:bookmarkStart w:id="371" w:name="_Toc199495127"/>
      <w:bookmarkStart w:id="372" w:name="_Toc199237334"/>
      <w:bookmarkStart w:id="373" w:name="_Toc199255913"/>
      <w:bookmarkStart w:id="374" w:name="_Toc199255987"/>
      <w:bookmarkStart w:id="375" w:name="_Toc199256061"/>
      <w:bookmarkStart w:id="376" w:name="_Toc199256135"/>
      <w:bookmarkStart w:id="377" w:name="_Toc199312268"/>
      <w:bookmarkStart w:id="378" w:name="_Toc199312335"/>
      <w:bookmarkStart w:id="379" w:name="_Toc199394802"/>
      <w:bookmarkStart w:id="380" w:name="_Toc199409473"/>
      <w:bookmarkStart w:id="381" w:name="_Toc199410159"/>
      <w:bookmarkStart w:id="382" w:name="_Toc199419506"/>
      <w:bookmarkStart w:id="383" w:name="_Toc199486369"/>
      <w:bookmarkStart w:id="384" w:name="_Toc199489081"/>
      <w:bookmarkStart w:id="385" w:name="_Toc199489333"/>
      <w:bookmarkStart w:id="386" w:name="_Toc199495057"/>
      <w:bookmarkStart w:id="387" w:name="_Toc199495128"/>
      <w:bookmarkStart w:id="388" w:name="_Toc126756787"/>
      <w:bookmarkStart w:id="389" w:name="_Toc202174369"/>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r w:rsidRPr="00753895">
        <w:rPr>
          <w:rFonts w:asciiTheme="minorHAnsi" w:hAnsiTheme="minorHAnsi" w:cstheme="minorHAnsi"/>
          <w:color w:val="000000" w:themeColor="text1"/>
          <w:sz w:val="32"/>
        </w:rPr>
        <w:t xml:space="preserve">Kategorie </w:t>
      </w:r>
      <w:r w:rsidR="00E94A55" w:rsidRPr="00753895">
        <w:rPr>
          <w:rFonts w:asciiTheme="minorHAnsi" w:hAnsiTheme="minorHAnsi" w:cstheme="minorHAnsi"/>
          <w:color w:val="000000" w:themeColor="text1"/>
          <w:sz w:val="32"/>
        </w:rPr>
        <w:t>wydatków</w:t>
      </w:r>
      <w:r w:rsidRPr="00753895">
        <w:rPr>
          <w:rFonts w:asciiTheme="minorHAnsi" w:hAnsiTheme="minorHAnsi" w:cstheme="minorHAnsi"/>
          <w:color w:val="000000" w:themeColor="text1"/>
          <w:sz w:val="32"/>
        </w:rPr>
        <w:t xml:space="preserve"> kwalifikowalnych</w:t>
      </w:r>
      <w:bookmarkEnd w:id="388"/>
      <w:bookmarkEnd w:id="389"/>
    </w:p>
    <w:p w14:paraId="4CA3E003" w14:textId="331EAA05" w:rsidR="00AC49A7" w:rsidRPr="00753895" w:rsidRDefault="00AC49A7" w:rsidP="00753895">
      <w:pPr>
        <w:spacing w:before="120" w:after="120" w:line="276" w:lineRule="auto"/>
        <w:rPr>
          <w:rFonts w:cstheme="minorHAnsi"/>
          <w:sz w:val="24"/>
          <w:szCs w:val="24"/>
        </w:rPr>
      </w:pPr>
      <w:r w:rsidRPr="00753895">
        <w:rPr>
          <w:rFonts w:cstheme="minorHAnsi"/>
          <w:sz w:val="24"/>
          <w:szCs w:val="24"/>
        </w:rPr>
        <w:t xml:space="preserve">W </w:t>
      </w:r>
      <w:r w:rsidRPr="00753895">
        <w:rPr>
          <w:rFonts w:cstheme="minorHAnsi"/>
          <w:b/>
          <w:bCs/>
          <w:sz w:val="24"/>
          <w:szCs w:val="24"/>
        </w:rPr>
        <w:t>ramach regionalnej pomocy inwestycyjnej</w:t>
      </w:r>
      <w:r w:rsidRPr="00753895">
        <w:rPr>
          <w:rFonts w:cstheme="minorHAnsi"/>
          <w:sz w:val="24"/>
          <w:szCs w:val="24"/>
        </w:rPr>
        <w:t xml:space="preserve"> kwalifikowalne są koszty wskazane w pkt </w:t>
      </w:r>
      <w:r>
        <w:rPr>
          <w:rFonts w:cstheme="minorHAnsi"/>
          <w:sz w:val="24"/>
          <w:szCs w:val="24"/>
        </w:rPr>
        <w:t>3</w:t>
      </w:r>
      <w:r w:rsidRPr="00753895">
        <w:rPr>
          <w:rFonts w:cstheme="minorHAnsi"/>
          <w:sz w:val="24"/>
          <w:szCs w:val="24"/>
        </w:rPr>
        <w:t xml:space="preserve">.3.1 – </w:t>
      </w:r>
      <w:r>
        <w:rPr>
          <w:rFonts w:cstheme="minorHAnsi"/>
          <w:sz w:val="24"/>
          <w:szCs w:val="24"/>
        </w:rPr>
        <w:t>3</w:t>
      </w:r>
      <w:r w:rsidRPr="00753895">
        <w:rPr>
          <w:rFonts w:cstheme="minorHAnsi"/>
          <w:sz w:val="24"/>
          <w:szCs w:val="24"/>
        </w:rPr>
        <w:t>.3.</w:t>
      </w:r>
      <w:r>
        <w:rPr>
          <w:rFonts w:cstheme="minorHAnsi"/>
          <w:sz w:val="24"/>
          <w:szCs w:val="24"/>
        </w:rPr>
        <w:t>4</w:t>
      </w:r>
      <w:r w:rsidRPr="00753895">
        <w:rPr>
          <w:rFonts w:cstheme="minorHAnsi"/>
          <w:sz w:val="24"/>
          <w:szCs w:val="24"/>
        </w:rPr>
        <w:t xml:space="preserve"> związane z realizacją inwestycji początkowej (o której mowa w art. 2 pkt. 49 lit. a </w:t>
      </w:r>
      <w:bookmarkStart w:id="390" w:name="_Hlk202187661"/>
      <w:r w:rsidRPr="00753895">
        <w:rPr>
          <w:rFonts w:cstheme="minorHAnsi"/>
          <w:sz w:val="24"/>
          <w:szCs w:val="24"/>
        </w:rPr>
        <w:t>rozporządzenia Komisji (UE) nr 651/2014</w:t>
      </w:r>
      <w:bookmarkEnd w:id="390"/>
      <w:r w:rsidRPr="00753895">
        <w:rPr>
          <w:rFonts w:cstheme="minorHAnsi"/>
          <w:sz w:val="24"/>
          <w:szCs w:val="24"/>
        </w:rPr>
        <w:t>)</w:t>
      </w:r>
      <w:r w:rsidR="0035033D">
        <w:rPr>
          <w:rFonts w:cstheme="minorHAnsi"/>
          <w:sz w:val="24"/>
          <w:szCs w:val="24"/>
        </w:rPr>
        <w:t xml:space="preserve"> lub związane z realizacją inwestycji początkowej, która zapoczątkuje nową działalność (o której mowa w art. 2 pkt 51 lit. a</w:t>
      </w:r>
      <w:r w:rsidR="0035033D" w:rsidRPr="0035033D">
        <w:rPr>
          <w:rFonts w:cstheme="minorHAnsi"/>
          <w:sz w:val="24"/>
          <w:szCs w:val="24"/>
        </w:rPr>
        <w:t xml:space="preserve"> </w:t>
      </w:r>
      <w:r w:rsidR="0035033D" w:rsidRPr="00753895">
        <w:rPr>
          <w:rFonts w:cstheme="minorHAnsi"/>
          <w:sz w:val="24"/>
          <w:szCs w:val="24"/>
        </w:rPr>
        <w:t>rozporządzenia Komisji (UE) nr 651/2014</w:t>
      </w:r>
      <w:r w:rsidR="0035033D">
        <w:rPr>
          <w:rFonts w:cstheme="minorHAnsi"/>
          <w:sz w:val="24"/>
          <w:szCs w:val="24"/>
        </w:rPr>
        <w:t>).</w:t>
      </w:r>
    </w:p>
    <w:p w14:paraId="037DDD81" w14:textId="3B2EF769" w:rsidR="00A70776" w:rsidRPr="00ED6E26" w:rsidRDefault="00A70776" w:rsidP="00A70776">
      <w:pPr>
        <w:pStyle w:val="Nagwek4"/>
        <w:spacing w:before="120" w:line="276" w:lineRule="auto"/>
        <w:rPr>
          <w:rFonts w:asciiTheme="minorHAnsi" w:hAnsiTheme="minorHAnsi" w:cstheme="minorHAnsi"/>
          <w:i w:val="0"/>
          <w:color w:val="auto"/>
          <w:sz w:val="28"/>
          <w:szCs w:val="28"/>
        </w:rPr>
      </w:pPr>
      <w:bookmarkStart w:id="391" w:name="_Toc202174370"/>
      <w:r>
        <w:rPr>
          <w:rFonts w:asciiTheme="minorHAnsi" w:hAnsiTheme="minorHAnsi" w:cstheme="minorHAnsi"/>
          <w:i w:val="0"/>
          <w:color w:val="auto"/>
          <w:sz w:val="28"/>
          <w:szCs w:val="28"/>
        </w:rPr>
        <w:lastRenderedPageBreak/>
        <w:t xml:space="preserve">3.3.1 </w:t>
      </w:r>
      <w:r w:rsidRPr="00ED6E26">
        <w:rPr>
          <w:rFonts w:asciiTheme="minorHAnsi" w:hAnsiTheme="minorHAnsi" w:cstheme="minorHAnsi"/>
          <w:i w:val="0"/>
          <w:color w:val="auto"/>
          <w:sz w:val="28"/>
          <w:szCs w:val="28"/>
        </w:rPr>
        <w:t>Grunty</w:t>
      </w:r>
      <w:bookmarkEnd w:id="391"/>
      <w:r w:rsidRPr="00ED6E26">
        <w:rPr>
          <w:rFonts w:asciiTheme="minorHAnsi" w:hAnsiTheme="minorHAnsi" w:cstheme="minorHAnsi"/>
          <w:i w:val="0"/>
          <w:color w:val="auto"/>
          <w:sz w:val="28"/>
          <w:szCs w:val="28"/>
        </w:rPr>
        <w:t xml:space="preserve"> </w:t>
      </w:r>
    </w:p>
    <w:p w14:paraId="0EA742F5" w14:textId="382E0B1C" w:rsidR="00A70776" w:rsidRPr="00762814" w:rsidRDefault="00A70776" w:rsidP="00A70776">
      <w:pPr>
        <w:pStyle w:val="Akapitzlist"/>
        <w:spacing w:after="120" w:line="276" w:lineRule="auto"/>
        <w:ind w:left="0"/>
        <w:rPr>
          <w:rFonts w:cstheme="minorHAnsi"/>
          <w:sz w:val="24"/>
          <w:szCs w:val="24"/>
        </w:rPr>
      </w:pPr>
      <w:r w:rsidRPr="00762814">
        <w:rPr>
          <w:rFonts w:cstheme="minorHAnsi"/>
          <w:sz w:val="24"/>
          <w:szCs w:val="24"/>
        </w:rPr>
        <w:t xml:space="preserve">W ramach tej kategorii kwalifikowalne są koszty nabycia prawa użytkowania wieczystego gruntu lub nabycia gruntów, jeżeli jest on niezbędny do realizacji </w:t>
      </w:r>
      <w:r>
        <w:rPr>
          <w:rFonts w:cstheme="minorHAnsi"/>
          <w:sz w:val="24"/>
          <w:szCs w:val="24"/>
        </w:rPr>
        <w:t>pro</w:t>
      </w:r>
      <w:r w:rsidR="00F36769">
        <w:rPr>
          <w:rFonts w:cstheme="minorHAnsi"/>
          <w:sz w:val="24"/>
          <w:szCs w:val="24"/>
        </w:rPr>
        <w:t>je</w:t>
      </w:r>
      <w:r>
        <w:rPr>
          <w:rFonts w:cstheme="minorHAnsi"/>
          <w:sz w:val="24"/>
          <w:szCs w:val="24"/>
        </w:rPr>
        <w:t>ktu</w:t>
      </w:r>
      <w:r w:rsidRPr="00762814">
        <w:rPr>
          <w:rFonts w:cstheme="minorHAnsi"/>
          <w:sz w:val="24"/>
          <w:szCs w:val="24"/>
        </w:rPr>
        <w:t xml:space="preserve"> i kwalifikowany wyłącznie w zakresie, w jakim jest wykorzystany do celów realizacji </w:t>
      </w:r>
      <w:r>
        <w:rPr>
          <w:rFonts w:cstheme="minorHAnsi"/>
          <w:sz w:val="24"/>
          <w:szCs w:val="24"/>
        </w:rPr>
        <w:t>projektu</w:t>
      </w:r>
      <w:r w:rsidRPr="00762814">
        <w:rPr>
          <w:rFonts w:cstheme="minorHAnsi"/>
          <w:sz w:val="24"/>
          <w:szCs w:val="24"/>
        </w:rPr>
        <w:t xml:space="preserve">. </w:t>
      </w:r>
    </w:p>
    <w:p w14:paraId="41C0611C" w14:textId="22D55BB1" w:rsidR="00A70776" w:rsidRPr="00930477" w:rsidRDefault="00A70776" w:rsidP="00A70776">
      <w:pPr>
        <w:spacing w:line="276" w:lineRule="auto"/>
        <w:rPr>
          <w:rFonts w:cstheme="minorHAnsi"/>
          <w:sz w:val="24"/>
          <w:szCs w:val="24"/>
        </w:rPr>
      </w:pPr>
      <w:r w:rsidRPr="00762814">
        <w:rPr>
          <w:rFonts w:cstheme="minorHAnsi"/>
          <w:sz w:val="24"/>
          <w:szCs w:val="24"/>
        </w:rPr>
        <w:t xml:space="preserve">Ponadto kwalifikowalne są raty spłaty kapitału </w:t>
      </w:r>
      <w:r w:rsidRPr="005640E5">
        <w:rPr>
          <w:rFonts w:cstheme="minorHAnsi"/>
          <w:sz w:val="24"/>
          <w:szCs w:val="24"/>
        </w:rPr>
        <w:t>gruntów</w:t>
      </w:r>
      <w:r w:rsidRPr="00762814">
        <w:rPr>
          <w:rFonts w:cstheme="minorHAnsi"/>
          <w:sz w:val="24"/>
          <w:szCs w:val="24"/>
        </w:rPr>
        <w:t xml:space="preserve">, poniesione przez korzystającego do dnia zakończenia realizacji </w:t>
      </w:r>
      <w:r>
        <w:rPr>
          <w:rFonts w:cstheme="minorHAnsi"/>
          <w:sz w:val="24"/>
          <w:szCs w:val="24"/>
        </w:rPr>
        <w:t>projektu</w:t>
      </w:r>
      <w:r w:rsidRPr="00762814">
        <w:rPr>
          <w:rFonts w:cstheme="minorHAnsi"/>
          <w:sz w:val="24"/>
          <w:szCs w:val="24"/>
        </w:rPr>
        <w:t xml:space="preserve">, do wysokości kapitału z dnia zawarcia umowy leasingu albo spłaty kapitału </w:t>
      </w:r>
      <w:r w:rsidRPr="005640E5">
        <w:rPr>
          <w:rFonts w:cstheme="minorHAnsi"/>
          <w:sz w:val="24"/>
          <w:szCs w:val="24"/>
        </w:rPr>
        <w:t>nieruchomości niezabudowanych</w:t>
      </w:r>
      <w:r w:rsidRPr="00762814">
        <w:rPr>
          <w:rFonts w:cstheme="minorHAnsi"/>
          <w:sz w:val="24"/>
          <w:szCs w:val="24"/>
        </w:rPr>
        <w:t xml:space="preserve">, należnej finansującemu z tytułu umowy leasingu, pod warunkiem, że we wniosku o </w:t>
      </w:r>
      <w:r w:rsidR="00A96767">
        <w:rPr>
          <w:rFonts w:cstheme="minorHAnsi"/>
          <w:sz w:val="24"/>
          <w:szCs w:val="24"/>
        </w:rPr>
        <w:t xml:space="preserve">dofinansowanie </w:t>
      </w:r>
      <w:r w:rsidRPr="00762814">
        <w:rPr>
          <w:rFonts w:cstheme="minorHAnsi"/>
          <w:sz w:val="24"/>
          <w:szCs w:val="24"/>
        </w:rPr>
        <w:t xml:space="preserve">finansujący jest wskazany przez wnioskodawcę jako podmiot upoważniony do poniesienia kosztu, oraz pod warunkiem, że umowa leasingu będzie obejmowała okres co najmniej </w:t>
      </w:r>
      <w:r w:rsidR="001863B4">
        <w:rPr>
          <w:rFonts w:cstheme="minorHAnsi"/>
          <w:sz w:val="24"/>
          <w:szCs w:val="24"/>
        </w:rPr>
        <w:t>5</w:t>
      </w:r>
      <w:r w:rsidRPr="00762814">
        <w:rPr>
          <w:rFonts w:cstheme="minorHAnsi"/>
          <w:sz w:val="24"/>
          <w:szCs w:val="24"/>
        </w:rPr>
        <w:t xml:space="preserve"> lat </w:t>
      </w:r>
      <w:r w:rsidR="00A96767">
        <w:rPr>
          <w:rFonts w:cstheme="minorHAnsi"/>
          <w:sz w:val="24"/>
          <w:szCs w:val="24"/>
        </w:rPr>
        <w:t xml:space="preserve">liczonych </w:t>
      </w:r>
      <w:r w:rsidRPr="00762814">
        <w:rPr>
          <w:rFonts w:cstheme="minorHAnsi"/>
          <w:sz w:val="24"/>
          <w:szCs w:val="24"/>
        </w:rPr>
        <w:t xml:space="preserve">od przewidywanego </w:t>
      </w:r>
      <w:r w:rsidR="008C26CB">
        <w:rPr>
          <w:rFonts w:cstheme="minorHAnsi"/>
          <w:sz w:val="24"/>
          <w:szCs w:val="24"/>
        </w:rPr>
        <w:t>dnia</w:t>
      </w:r>
      <w:r w:rsidR="008C26CB" w:rsidRPr="00762814">
        <w:rPr>
          <w:rFonts w:cstheme="minorHAnsi"/>
          <w:sz w:val="24"/>
          <w:szCs w:val="24"/>
        </w:rPr>
        <w:t xml:space="preserve"> </w:t>
      </w:r>
      <w:r w:rsidRPr="00762814">
        <w:rPr>
          <w:rFonts w:cstheme="minorHAnsi"/>
          <w:sz w:val="24"/>
          <w:szCs w:val="24"/>
        </w:rPr>
        <w:t xml:space="preserve">zakończenia realizacji </w:t>
      </w:r>
      <w:r>
        <w:rPr>
          <w:rFonts w:cstheme="minorHAnsi"/>
          <w:sz w:val="24"/>
          <w:szCs w:val="24"/>
        </w:rPr>
        <w:t>projektu</w:t>
      </w:r>
      <w:r w:rsidR="001863B4">
        <w:rPr>
          <w:rFonts w:cstheme="minorHAnsi"/>
          <w:sz w:val="24"/>
          <w:szCs w:val="24"/>
        </w:rPr>
        <w:t>, a w przypadku MŚP</w:t>
      </w:r>
      <w:r w:rsidR="00FB7CCB">
        <w:rPr>
          <w:rFonts w:cstheme="minorHAnsi"/>
          <w:sz w:val="24"/>
          <w:szCs w:val="24"/>
        </w:rPr>
        <w:t xml:space="preserve"> </w:t>
      </w:r>
      <w:r w:rsidR="001863B4">
        <w:rPr>
          <w:rFonts w:cstheme="minorHAnsi"/>
          <w:sz w:val="24"/>
          <w:szCs w:val="24"/>
        </w:rPr>
        <w:t>- okres co najmniej 3 lat</w:t>
      </w:r>
      <w:r w:rsidR="00A96767" w:rsidRPr="00B13840">
        <w:rPr>
          <w:rFonts w:cstheme="minorHAnsi"/>
          <w:sz w:val="24"/>
          <w:szCs w:val="24"/>
        </w:rPr>
        <w:t xml:space="preserve"> liczonych od przewidywanego dnia zakończenia realizacji projektu</w:t>
      </w:r>
      <w:r w:rsidRPr="00762814">
        <w:rPr>
          <w:rFonts w:cstheme="minorHAnsi"/>
          <w:sz w:val="24"/>
          <w:szCs w:val="24"/>
        </w:rPr>
        <w:t>.</w:t>
      </w:r>
    </w:p>
    <w:p w14:paraId="0C5A3A2E" w14:textId="476CD0E8" w:rsidR="00A70776" w:rsidRPr="00ED6E26" w:rsidRDefault="00A70776" w:rsidP="00A70776">
      <w:pPr>
        <w:pStyle w:val="Nagwek4"/>
        <w:spacing w:before="120" w:line="276" w:lineRule="auto"/>
        <w:rPr>
          <w:rFonts w:asciiTheme="minorHAnsi" w:hAnsiTheme="minorHAnsi" w:cstheme="minorHAnsi"/>
          <w:i w:val="0"/>
          <w:color w:val="auto"/>
          <w:sz w:val="28"/>
          <w:szCs w:val="28"/>
        </w:rPr>
      </w:pPr>
      <w:bookmarkStart w:id="392" w:name="_Toc202174371"/>
      <w:r>
        <w:rPr>
          <w:rFonts w:asciiTheme="minorHAnsi" w:hAnsiTheme="minorHAnsi" w:cstheme="minorHAnsi"/>
          <w:i w:val="0"/>
          <w:color w:val="auto"/>
          <w:sz w:val="28"/>
          <w:szCs w:val="28"/>
        </w:rPr>
        <w:t xml:space="preserve">3.3.2 </w:t>
      </w:r>
      <w:r w:rsidRPr="00ED6E26">
        <w:rPr>
          <w:rFonts w:asciiTheme="minorHAnsi" w:hAnsiTheme="minorHAnsi" w:cstheme="minorHAnsi"/>
          <w:i w:val="0"/>
          <w:color w:val="auto"/>
          <w:sz w:val="28"/>
          <w:szCs w:val="28"/>
        </w:rPr>
        <w:t>Nieruchomości zabudowane</w:t>
      </w:r>
      <w:bookmarkEnd w:id="392"/>
    </w:p>
    <w:p w14:paraId="7C76A35D" w14:textId="33F9A46B" w:rsidR="00A70776" w:rsidRPr="00762814" w:rsidRDefault="00A70776" w:rsidP="00A70776">
      <w:pPr>
        <w:spacing w:after="0" w:line="276" w:lineRule="auto"/>
        <w:rPr>
          <w:rFonts w:cstheme="minorHAnsi"/>
          <w:sz w:val="24"/>
          <w:szCs w:val="24"/>
        </w:rPr>
      </w:pPr>
      <w:r w:rsidRPr="00762814">
        <w:rPr>
          <w:rFonts w:cstheme="minorHAnsi"/>
          <w:sz w:val="24"/>
          <w:szCs w:val="24"/>
        </w:rPr>
        <w:t xml:space="preserve">W ramach tej kategorii kwalifikowalne są koszty nabycia prawa własności nieruchomości zabudowanej, z wyłączeniem lokali mieszkalnych, jeżeli: nieruchomość jest niezbędna do realizacji </w:t>
      </w:r>
      <w:r w:rsidR="002E4D37">
        <w:rPr>
          <w:rFonts w:cstheme="minorHAnsi"/>
          <w:sz w:val="24"/>
          <w:szCs w:val="24"/>
        </w:rPr>
        <w:t>projektu</w:t>
      </w:r>
      <w:r w:rsidRPr="00762814">
        <w:rPr>
          <w:rFonts w:cstheme="minorHAnsi"/>
          <w:sz w:val="24"/>
          <w:szCs w:val="24"/>
        </w:rPr>
        <w:t xml:space="preserve"> i kwalifikowana wyłącznie w zakresie, w jakim jest wykorzystana do celów realizacji </w:t>
      </w:r>
      <w:r w:rsidR="002E4D37">
        <w:rPr>
          <w:rFonts w:cstheme="minorHAnsi"/>
          <w:sz w:val="24"/>
          <w:szCs w:val="24"/>
        </w:rPr>
        <w:t>projektu</w:t>
      </w:r>
      <w:r w:rsidRPr="00762814">
        <w:rPr>
          <w:rFonts w:cstheme="minorHAnsi"/>
          <w:sz w:val="24"/>
          <w:szCs w:val="24"/>
        </w:rPr>
        <w:t>.</w:t>
      </w:r>
    </w:p>
    <w:p w14:paraId="1A2E8B20" w14:textId="7CEAFD75" w:rsidR="001863B4" w:rsidRPr="00930477" w:rsidRDefault="00A70776" w:rsidP="001863B4">
      <w:pPr>
        <w:spacing w:line="276" w:lineRule="auto"/>
        <w:rPr>
          <w:rFonts w:cstheme="minorHAnsi"/>
          <w:sz w:val="24"/>
          <w:szCs w:val="24"/>
        </w:rPr>
      </w:pPr>
      <w:r w:rsidRPr="00762814">
        <w:rPr>
          <w:rFonts w:cstheme="minorHAnsi"/>
          <w:sz w:val="24"/>
          <w:szCs w:val="24"/>
        </w:rPr>
        <w:t xml:space="preserve">Ponadto kwalifikowalne są raty spłaty kapitału nieruchomości zabudowanych, poniesione przez korzystającego do dnia zakończenia realizacji </w:t>
      </w:r>
      <w:r w:rsidR="002E4D37">
        <w:rPr>
          <w:rFonts w:cstheme="minorHAnsi"/>
          <w:sz w:val="24"/>
          <w:szCs w:val="24"/>
        </w:rPr>
        <w:t>projektu</w:t>
      </w:r>
      <w:r w:rsidRPr="00762814">
        <w:rPr>
          <w:rFonts w:cstheme="minorHAnsi"/>
          <w:sz w:val="24"/>
          <w:szCs w:val="24"/>
        </w:rPr>
        <w:t xml:space="preserve">, do wysokości kapitału z dnia zawarcia umowy leasingu albo spłaty kapitału nieruchomości zabudowanych, należnej finansującemu z tytułu umowy leasingu, pod warunkiem że we wniosku o udzielenie pomocy finansujący jest wskazany przez wnioskodawcę jako podmiot upoważniony do poniesienia kosztu oraz pod warunkiem, że umowa leasingu będzie obejmowała okres co najmniej </w:t>
      </w:r>
      <w:r w:rsidR="001863B4">
        <w:rPr>
          <w:rFonts w:cstheme="minorHAnsi"/>
          <w:sz w:val="24"/>
          <w:szCs w:val="24"/>
        </w:rPr>
        <w:t>5</w:t>
      </w:r>
      <w:r w:rsidR="001863B4" w:rsidRPr="00762814">
        <w:rPr>
          <w:rFonts w:cstheme="minorHAnsi"/>
          <w:sz w:val="24"/>
          <w:szCs w:val="24"/>
        </w:rPr>
        <w:t xml:space="preserve"> </w:t>
      </w:r>
      <w:r w:rsidRPr="00762814">
        <w:rPr>
          <w:rFonts w:cstheme="minorHAnsi"/>
          <w:sz w:val="24"/>
          <w:szCs w:val="24"/>
        </w:rPr>
        <w:t xml:space="preserve">lat </w:t>
      </w:r>
      <w:r w:rsidR="000C2E4C">
        <w:rPr>
          <w:rFonts w:cstheme="minorHAnsi"/>
          <w:sz w:val="24"/>
          <w:szCs w:val="24"/>
        </w:rPr>
        <w:t xml:space="preserve">liczonych </w:t>
      </w:r>
      <w:r w:rsidRPr="00762814">
        <w:rPr>
          <w:rFonts w:cstheme="minorHAnsi"/>
          <w:sz w:val="24"/>
          <w:szCs w:val="24"/>
        </w:rPr>
        <w:t xml:space="preserve">od przewidywanego </w:t>
      </w:r>
      <w:r w:rsidR="000C2E4C">
        <w:rPr>
          <w:rFonts w:cstheme="minorHAnsi"/>
          <w:sz w:val="24"/>
          <w:szCs w:val="24"/>
        </w:rPr>
        <w:t xml:space="preserve">dnia </w:t>
      </w:r>
      <w:r w:rsidRPr="00762814">
        <w:rPr>
          <w:rFonts w:cstheme="minorHAnsi"/>
          <w:sz w:val="24"/>
          <w:szCs w:val="24"/>
        </w:rPr>
        <w:t xml:space="preserve">zakończenia realizacji </w:t>
      </w:r>
      <w:r w:rsidR="002E4D37">
        <w:rPr>
          <w:rFonts w:cstheme="minorHAnsi"/>
          <w:sz w:val="24"/>
          <w:szCs w:val="24"/>
        </w:rPr>
        <w:t>projektu</w:t>
      </w:r>
      <w:r w:rsidR="001863B4">
        <w:rPr>
          <w:rFonts w:cstheme="minorHAnsi"/>
          <w:sz w:val="24"/>
          <w:szCs w:val="24"/>
        </w:rPr>
        <w:t>,</w:t>
      </w:r>
      <w:r w:rsidR="001863B4">
        <w:t xml:space="preserve"> </w:t>
      </w:r>
      <w:r w:rsidR="001863B4">
        <w:rPr>
          <w:rFonts w:cstheme="minorHAnsi"/>
          <w:sz w:val="24"/>
          <w:szCs w:val="24"/>
        </w:rPr>
        <w:t>a w przypadku MŚP</w:t>
      </w:r>
      <w:r w:rsidR="00FB7CCB">
        <w:rPr>
          <w:rFonts w:cstheme="minorHAnsi"/>
          <w:sz w:val="24"/>
          <w:szCs w:val="24"/>
        </w:rPr>
        <w:t xml:space="preserve"> </w:t>
      </w:r>
      <w:r w:rsidR="001863B4">
        <w:rPr>
          <w:rFonts w:cstheme="minorHAnsi"/>
          <w:sz w:val="24"/>
          <w:szCs w:val="24"/>
        </w:rPr>
        <w:t>- okres co najmniej 3 lat</w:t>
      </w:r>
      <w:r w:rsidR="000C2E4C" w:rsidRPr="000C2E4C">
        <w:rPr>
          <w:rFonts w:cstheme="minorHAnsi"/>
          <w:sz w:val="24"/>
          <w:szCs w:val="24"/>
        </w:rPr>
        <w:t xml:space="preserve"> </w:t>
      </w:r>
      <w:r w:rsidR="000C2E4C" w:rsidRPr="009B30AF">
        <w:rPr>
          <w:rFonts w:cstheme="minorHAnsi"/>
          <w:sz w:val="24"/>
          <w:szCs w:val="24"/>
        </w:rPr>
        <w:t>liczonych od przewidywanego dnia zakończenia realizacji projektu</w:t>
      </w:r>
      <w:r w:rsidR="000C2E4C" w:rsidRPr="00762814">
        <w:rPr>
          <w:rFonts w:cstheme="minorHAnsi"/>
          <w:sz w:val="24"/>
          <w:szCs w:val="24"/>
        </w:rPr>
        <w:t>.</w:t>
      </w:r>
    </w:p>
    <w:p w14:paraId="6E6630E0" w14:textId="5E0A6079" w:rsidR="00A70776" w:rsidRPr="00762814" w:rsidRDefault="00A70776" w:rsidP="00A70776">
      <w:pPr>
        <w:spacing w:before="120" w:line="276" w:lineRule="auto"/>
        <w:rPr>
          <w:rFonts w:cstheme="minorHAnsi"/>
          <w:sz w:val="24"/>
          <w:szCs w:val="24"/>
        </w:rPr>
      </w:pPr>
    </w:p>
    <w:p w14:paraId="3298B199" w14:textId="4F23DC3F" w:rsidR="000C2E4C" w:rsidRPr="00762814" w:rsidRDefault="00A70776" w:rsidP="000C2E4C">
      <w:pPr>
        <w:spacing w:after="120" w:line="276" w:lineRule="auto"/>
        <w:rPr>
          <w:rFonts w:cstheme="minorHAnsi"/>
          <w:sz w:val="24"/>
          <w:szCs w:val="24"/>
        </w:rPr>
      </w:pPr>
      <w:r w:rsidRPr="00762814">
        <w:rPr>
          <w:rFonts w:cstheme="minorHAnsi"/>
          <w:bCs/>
          <w:sz w:val="24"/>
          <w:szCs w:val="24"/>
        </w:rPr>
        <w:t>Suma kwalifikowalnych kosztów gruntów (</w:t>
      </w:r>
      <w:r w:rsidR="002E4D37">
        <w:rPr>
          <w:rFonts w:cstheme="minorHAnsi"/>
          <w:bCs/>
          <w:sz w:val="24"/>
          <w:szCs w:val="24"/>
        </w:rPr>
        <w:t>3</w:t>
      </w:r>
      <w:r w:rsidRPr="00762814">
        <w:rPr>
          <w:rFonts w:cstheme="minorHAnsi"/>
          <w:bCs/>
          <w:sz w:val="24"/>
          <w:szCs w:val="24"/>
        </w:rPr>
        <w:t>.3.1) oraz nieruchomości zabudowanych (</w:t>
      </w:r>
      <w:r w:rsidR="002E4D37">
        <w:rPr>
          <w:rFonts w:cstheme="minorHAnsi"/>
          <w:bCs/>
          <w:sz w:val="24"/>
          <w:szCs w:val="24"/>
        </w:rPr>
        <w:t>3</w:t>
      </w:r>
      <w:r w:rsidRPr="00762814">
        <w:rPr>
          <w:rFonts w:cstheme="minorHAnsi"/>
          <w:bCs/>
          <w:sz w:val="24"/>
          <w:szCs w:val="24"/>
        </w:rPr>
        <w:t xml:space="preserve">.3.2) nie może przekroczyć 10% całkowitych wydatków kwalifikowalnych, o których mowa w pkt </w:t>
      </w:r>
      <w:r w:rsidR="002E4D37">
        <w:rPr>
          <w:rFonts w:cstheme="minorHAnsi"/>
          <w:bCs/>
          <w:sz w:val="24"/>
          <w:szCs w:val="24"/>
        </w:rPr>
        <w:t>3</w:t>
      </w:r>
      <w:r w:rsidRPr="00762814">
        <w:rPr>
          <w:rFonts w:cstheme="minorHAnsi"/>
          <w:bCs/>
          <w:sz w:val="24"/>
          <w:szCs w:val="24"/>
        </w:rPr>
        <w:t xml:space="preserve">.3.1 - </w:t>
      </w:r>
      <w:r w:rsidR="002E4D37" w:rsidRPr="00753895">
        <w:rPr>
          <w:rFonts w:cstheme="minorHAnsi"/>
          <w:bCs/>
          <w:sz w:val="24"/>
          <w:szCs w:val="24"/>
        </w:rPr>
        <w:t>3</w:t>
      </w:r>
      <w:r w:rsidRPr="00EE2AF7">
        <w:rPr>
          <w:rFonts w:cstheme="minorHAnsi"/>
          <w:bCs/>
          <w:sz w:val="24"/>
          <w:szCs w:val="24"/>
        </w:rPr>
        <w:t>.3.</w:t>
      </w:r>
      <w:r w:rsidR="00DA65FA">
        <w:rPr>
          <w:rFonts w:cstheme="minorHAnsi"/>
          <w:bCs/>
          <w:sz w:val="24"/>
          <w:szCs w:val="24"/>
        </w:rPr>
        <w:t>5</w:t>
      </w:r>
      <w:r w:rsidRPr="00EE2AF7">
        <w:rPr>
          <w:rFonts w:cstheme="minorHAnsi"/>
          <w:bCs/>
          <w:sz w:val="24"/>
          <w:szCs w:val="24"/>
        </w:rPr>
        <w:t>;</w:t>
      </w:r>
      <w:r w:rsidRPr="00762814">
        <w:rPr>
          <w:rFonts w:cstheme="minorHAnsi"/>
          <w:sz w:val="24"/>
          <w:szCs w:val="24"/>
        </w:rPr>
        <w:t xml:space="preserve"> w przypadku terenów opuszczonych oraz poprzemysłowych</w:t>
      </w:r>
      <w:r w:rsidRPr="00762814">
        <w:rPr>
          <w:rStyle w:val="Odwoanieprzypisudolnego"/>
          <w:rFonts w:cstheme="minorHAnsi"/>
          <w:sz w:val="24"/>
          <w:szCs w:val="24"/>
        </w:rPr>
        <w:footnoteReference w:id="6"/>
      </w:r>
      <w:r w:rsidRPr="00762814">
        <w:rPr>
          <w:rFonts w:cstheme="minorHAnsi"/>
          <w:sz w:val="24"/>
          <w:szCs w:val="24"/>
        </w:rPr>
        <w:t xml:space="preserve">, na których znajdują się budynki, limit ten zostaje podniesiony do 15% </w:t>
      </w:r>
      <w:r w:rsidRPr="00762814">
        <w:rPr>
          <w:rFonts w:cstheme="minorHAnsi"/>
          <w:bCs/>
          <w:sz w:val="24"/>
          <w:szCs w:val="24"/>
        </w:rPr>
        <w:t xml:space="preserve">– na podstawie art. 64 ust 1 lit. b) </w:t>
      </w:r>
      <w:r>
        <w:rPr>
          <w:rFonts w:cstheme="minorHAnsi"/>
          <w:bCs/>
          <w:sz w:val="24"/>
          <w:szCs w:val="24"/>
        </w:rPr>
        <w:t>r</w:t>
      </w:r>
      <w:r w:rsidRPr="00762814">
        <w:rPr>
          <w:rFonts w:cstheme="minorHAnsi"/>
          <w:bCs/>
          <w:sz w:val="24"/>
          <w:szCs w:val="24"/>
        </w:rPr>
        <w:t>ozporządzenia Parlamentu i Rady UE 2021/1060 z dnia 24 czerwca 2021 r.</w:t>
      </w:r>
      <w:r w:rsidR="000C2E4C" w:rsidRPr="000C2E4C">
        <w:rPr>
          <w:rFonts w:cstheme="minorHAnsi"/>
          <w:bCs/>
          <w:sz w:val="24"/>
          <w:szCs w:val="24"/>
        </w:rPr>
        <w:t xml:space="preserve"> </w:t>
      </w:r>
      <w:r w:rsidR="000C2E4C" w:rsidRPr="00144176">
        <w:rPr>
          <w:rFonts w:cstheme="minorHAnsi"/>
          <w:bCs/>
          <w:sz w:val="24"/>
          <w:szCs w:val="24"/>
        </w:rPr>
        <w:t>ustanawiające</w:t>
      </w:r>
      <w:r w:rsidR="000C2E4C">
        <w:rPr>
          <w:rFonts w:cstheme="minorHAnsi"/>
          <w:bCs/>
          <w:sz w:val="24"/>
          <w:szCs w:val="24"/>
        </w:rPr>
        <w:t>go</w:t>
      </w:r>
      <w:r w:rsidR="000C2E4C" w:rsidRPr="00144176">
        <w:rPr>
          <w:rFonts w:cstheme="minorHAnsi"/>
          <w:bCs/>
          <w:sz w:val="24"/>
          <w:szCs w:val="24"/>
        </w:rPr>
        <w:t xml:space="preserve"> wspólne przepisy dotyczące Europejskiego Funduszu Rozwoju Regionalnego, Europejskiego Funduszu Społecznego Plus, Funduszu Spójności, Funduszu na rzecz Sprawiedliwej </w:t>
      </w:r>
      <w:r w:rsidR="000C2E4C" w:rsidRPr="00144176">
        <w:rPr>
          <w:rFonts w:cstheme="minorHAnsi"/>
          <w:bCs/>
          <w:sz w:val="24"/>
          <w:szCs w:val="24"/>
        </w:rPr>
        <w:lastRenderedPageBreak/>
        <w:t>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0C2E4C">
        <w:rPr>
          <w:rFonts w:cstheme="minorHAnsi"/>
          <w:bCs/>
          <w:sz w:val="24"/>
          <w:szCs w:val="24"/>
        </w:rPr>
        <w:t xml:space="preserve"> </w:t>
      </w:r>
      <w:r w:rsidR="008D063C" w:rsidRPr="00151815">
        <w:t>(Dz. Urz. UE L 231 z 30.06.2021, s. 159)</w:t>
      </w:r>
      <w:r w:rsidR="000C2E4C">
        <w:rPr>
          <w:rFonts w:cstheme="minorHAnsi"/>
          <w:bCs/>
          <w:sz w:val="24"/>
          <w:szCs w:val="24"/>
        </w:rPr>
        <w:t>.</w:t>
      </w:r>
    </w:p>
    <w:p w14:paraId="616DF896" w14:textId="26E20896" w:rsidR="00A70776" w:rsidRPr="00762814" w:rsidRDefault="00A70776" w:rsidP="00A70776">
      <w:pPr>
        <w:spacing w:after="120" w:line="276" w:lineRule="auto"/>
        <w:rPr>
          <w:rFonts w:cstheme="minorHAnsi"/>
          <w:sz w:val="24"/>
          <w:szCs w:val="24"/>
        </w:rPr>
      </w:pPr>
    </w:p>
    <w:p w14:paraId="52E66C08" w14:textId="60C9F1F8" w:rsidR="00A70776" w:rsidRPr="00ED6E26" w:rsidRDefault="00BA4703" w:rsidP="00A70776">
      <w:pPr>
        <w:pStyle w:val="Nagwek4"/>
        <w:spacing w:before="120" w:line="276" w:lineRule="auto"/>
        <w:rPr>
          <w:rFonts w:asciiTheme="minorHAnsi" w:hAnsiTheme="minorHAnsi" w:cstheme="minorHAnsi"/>
          <w:i w:val="0"/>
          <w:color w:val="auto"/>
          <w:sz w:val="28"/>
          <w:szCs w:val="28"/>
        </w:rPr>
      </w:pPr>
      <w:bookmarkStart w:id="393" w:name="_Toc202174372"/>
      <w:r>
        <w:rPr>
          <w:rFonts w:asciiTheme="minorHAnsi" w:hAnsiTheme="minorHAnsi" w:cstheme="minorHAnsi"/>
          <w:i w:val="0"/>
          <w:color w:val="auto"/>
          <w:sz w:val="28"/>
          <w:szCs w:val="28"/>
        </w:rPr>
        <w:t>3</w:t>
      </w:r>
      <w:r w:rsidR="00A70776">
        <w:rPr>
          <w:rFonts w:asciiTheme="minorHAnsi" w:hAnsiTheme="minorHAnsi" w:cstheme="minorHAnsi"/>
          <w:i w:val="0"/>
          <w:color w:val="auto"/>
          <w:sz w:val="28"/>
          <w:szCs w:val="28"/>
        </w:rPr>
        <w:t xml:space="preserve">.3.3 </w:t>
      </w:r>
      <w:r w:rsidR="00A70776" w:rsidRPr="00ED6E26">
        <w:rPr>
          <w:rFonts w:asciiTheme="minorHAnsi" w:hAnsiTheme="minorHAnsi" w:cstheme="minorHAnsi"/>
          <w:i w:val="0"/>
          <w:color w:val="auto"/>
          <w:sz w:val="28"/>
          <w:szCs w:val="28"/>
        </w:rPr>
        <w:t>Środki trwałe/dostawy</w:t>
      </w:r>
      <w:bookmarkEnd w:id="393"/>
      <w:r w:rsidR="00A70776" w:rsidRPr="00ED6E26">
        <w:rPr>
          <w:rFonts w:asciiTheme="minorHAnsi" w:hAnsiTheme="minorHAnsi" w:cstheme="minorHAnsi"/>
          <w:i w:val="0"/>
          <w:color w:val="auto"/>
          <w:sz w:val="28"/>
          <w:szCs w:val="28"/>
        </w:rPr>
        <w:t xml:space="preserve"> </w:t>
      </w:r>
    </w:p>
    <w:p w14:paraId="6CCB4B11" w14:textId="77777777" w:rsidR="00A70776" w:rsidRPr="009779A7" w:rsidRDefault="00A70776" w:rsidP="00A70776">
      <w:pPr>
        <w:spacing w:line="276" w:lineRule="auto"/>
        <w:rPr>
          <w:rFonts w:cstheme="minorHAnsi"/>
          <w:sz w:val="24"/>
          <w:szCs w:val="24"/>
        </w:rPr>
      </w:pPr>
      <w:r w:rsidRPr="009779A7">
        <w:rPr>
          <w:rFonts w:cstheme="minorHAnsi"/>
          <w:sz w:val="24"/>
          <w:szCs w:val="24"/>
        </w:rPr>
        <w:t>W ramach tej kategorii kwalifikowalne są koszty nabycia środków trwałych innych niż nieruchomości, w tym koszty instalacji i uruchomienia oraz leasing finansowy środków trwałych innych niż nieruchomości.</w:t>
      </w:r>
    </w:p>
    <w:p w14:paraId="4E0BB50D" w14:textId="011C3765" w:rsidR="00A70776" w:rsidRPr="009779A7" w:rsidRDefault="00A70776" w:rsidP="00A70776">
      <w:pPr>
        <w:spacing w:line="276" w:lineRule="auto"/>
        <w:rPr>
          <w:rFonts w:cstheme="minorHAnsi"/>
          <w:sz w:val="24"/>
          <w:szCs w:val="24"/>
        </w:rPr>
      </w:pPr>
      <w:r w:rsidRPr="009779A7">
        <w:rPr>
          <w:rFonts w:cstheme="minorHAnsi"/>
          <w:sz w:val="24"/>
          <w:szCs w:val="24"/>
        </w:rPr>
        <w:t xml:space="preserve">Kwalifikowalne są raty spłaty kapitału środków trwałych, poniesione przez korzystającego do dnia zakończenia realizacji </w:t>
      </w:r>
      <w:r w:rsidR="00BF2C43" w:rsidRPr="009779A7">
        <w:rPr>
          <w:rFonts w:cstheme="minorHAnsi"/>
          <w:sz w:val="24"/>
          <w:szCs w:val="24"/>
        </w:rPr>
        <w:t>projektu</w:t>
      </w:r>
      <w:r w:rsidRPr="009779A7">
        <w:rPr>
          <w:rFonts w:cstheme="minorHAnsi"/>
          <w:sz w:val="24"/>
          <w:szCs w:val="24"/>
        </w:rPr>
        <w:t xml:space="preserve">, do wysokości kapitału z dnia zawarcia umowy leasingu albo spłaty kapitału środków trwałych, należnej finansującemu z tytułu umowy leasingu, pod warunkiem, że we wniosku o </w:t>
      </w:r>
      <w:r w:rsidR="00AB56B4">
        <w:rPr>
          <w:rFonts w:cstheme="minorHAnsi"/>
          <w:sz w:val="24"/>
          <w:szCs w:val="24"/>
        </w:rPr>
        <w:t>dofinansowanie</w:t>
      </w:r>
      <w:r w:rsidR="003C5128">
        <w:rPr>
          <w:rFonts w:cstheme="minorHAnsi"/>
          <w:sz w:val="24"/>
          <w:szCs w:val="24"/>
        </w:rPr>
        <w:t xml:space="preserve"> </w:t>
      </w:r>
      <w:r w:rsidRPr="009779A7">
        <w:rPr>
          <w:rFonts w:cstheme="minorHAnsi"/>
          <w:sz w:val="24"/>
          <w:szCs w:val="24"/>
        </w:rPr>
        <w:t>finansujący jest wskazany przez wnioskodawcę jako podmiot upoważniony do poniesienia kosztu, przy czym umowa leasingu prowadzi do przeniesienia własności tych środków na korzystającego</w:t>
      </w:r>
      <w:r w:rsidR="009024D8">
        <w:rPr>
          <w:rFonts w:cstheme="minorHAnsi"/>
          <w:sz w:val="24"/>
          <w:szCs w:val="24"/>
        </w:rPr>
        <w:t>, z wyłączeniem leasingu zwrotnego.</w:t>
      </w:r>
    </w:p>
    <w:p w14:paraId="37715683" w14:textId="5A05DDCE" w:rsidR="00945B37" w:rsidRPr="00753895" w:rsidRDefault="00945B37" w:rsidP="00945B37">
      <w:pPr>
        <w:autoSpaceDE w:val="0"/>
        <w:autoSpaceDN w:val="0"/>
        <w:adjustRightInd w:val="0"/>
        <w:spacing w:after="0" w:line="240" w:lineRule="auto"/>
        <w:rPr>
          <w:rFonts w:ascii="Calibri" w:hAnsi="Calibri" w:cs="Calibri"/>
          <w:color w:val="000000"/>
          <w:sz w:val="24"/>
          <w:szCs w:val="24"/>
        </w:rPr>
      </w:pPr>
      <w:r w:rsidRPr="00753895">
        <w:rPr>
          <w:rFonts w:ascii="Calibri" w:hAnsi="Calibri" w:cs="Calibri"/>
          <w:b/>
          <w:bCs/>
          <w:color w:val="000000"/>
          <w:sz w:val="24"/>
          <w:szCs w:val="24"/>
        </w:rPr>
        <w:t>Nabywane środki trwałe muszą być nowe, z wyjątkiem nabywanych przez MŚP</w:t>
      </w:r>
      <w:r w:rsidR="005C6096">
        <w:rPr>
          <w:rFonts w:ascii="Calibri" w:hAnsi="Calibri" w:cs="Calibri"/>
          <w:b/>
          <w:bCs/>
          <w:color w:val="000000"/>
          <w:sz w:val="24"/>
          <w:szCs w:val="24"/>
        </w:rPr>
        <w:t>.</w:t>
      </w:r>
      <w:r w:rsidRPr="00753895">
        <w:rPr>
          <w:rFonts w:ascii="Calibri" w:hAnsi="Calibri" w:cs="Calibri"/>
          <w:b/>
          <w:bCs/>
          <w:color w:val="000000"/>
          <w:sz w:val="24"/>
          <w:szCs w:val="24"/>
        </w:rPr>
        <w:t xml:space="preserve"> </w:t>
      </w:r>
    </w:p>
    <w:p w14:paraId="291CCE8D" w14:textId="51DAF1D3" w:rsidR="00945B37" w:rsidRDefault="00945B37" w:rsidP="00753895">
      <w:pPr>
        <w:rPr>
          <w:rFonts w:ascii="Calibri" w:hAnsi="Calibri" w:cs="Calibri"/>
          <w:color w:val="000000"/>
          <w:sz w:val="24"/>
          <w:szCs w:val="24"/>
        </w:rPr>
      </w:pPr>
      <w:r w:rsidRPr="00753895">
        <w:rPr>
          <w:rFonts w:ascii="Calibri" w:hAnsi="Calibri" w:cs="Calibri"/>
          <w:color w:val="000000"/>
          <w:sz w:val="24"/>
          <w:szCs w:val="24"/>
        </w:rPr>
        <w:t xml:space="preserve">Nowe aktywa oznaczają aktywa, które zostały nabyte po cenie rynkowej przez Wnioskodawcę po dniu złożenia wniosku o dofinansowanie oraz które nie były nigdy wcześniej wykorzystywane w procesie produkcji. </w:t>
      </w:r>
    </w:p>
    <w:p w14:paraId="16469057" w14:textId="7BBE7D0D" w:rsidR="00282DBC" w:rsidRPr="00ED6E26" w:rsidRDefault="00282DBC" w:rsidP="00282DBC">
      <w:pPr>
        <w:pStyle w:val="Nagwek4"/>
        <w:spacing w:before="120" w:line="276" w:lineRule="auto"/>
        <w:rPr>
          <w:rFonts w:asciiTheme="minorHAnsi" w:hAnsiTheme="minorHAnsi" w:cstheme="minorHAnsi"/>
          <w:i w:val="0"/>
          <w:color w:val="auto"/>
          <w:sz w:val="28"/>
          <w:szCs w:val="28"/>
        </w:rPr>
      </w:pPr>
      <w:bookmarkStart w:id="394" w:name="_Toc126756804"/>
      <w:bookmarkStart w:id="395" w:name="_Toc193725902"/>
      <w:bookmarkStart w:id="396" w:name="_Toc202174373"/>
      <w:r>
        <w:rPr>
          <w:rFonts w:asciiTheme="minorHAnsi" w:hAnsiTheme="minorHAnsi" w:cstheme="minorHAnsi"/>
          <w:i w:val="0"/>
          <w:color w:val="auto"/>
          <w:sz w:val="28"/>
          <w:szCs w:val="28"/>
        </w:rPr>
        <w:t xml:space="preserve">3.3.4 </w:t>
      </w:r>
      <w:r w:rsidRPr="00ED6E26">
        <w:rPr>
          <w:rFonts w:asciiTheme="minorHAnsi" w:hAnsiTheme="minorHAnsi" w:cstheme="minorHAnsi"/>
          <w:i w:val="0"/>
          <w:color w:val="auto"/>
          <w:sz w:val="28"/>
          <w:szCs w:val="28"/>
        </w:rPr>
        <w:t>Roboty budowlane</w:t>
      </w:r>
      <w:bookmarkEnd w:id="394"/>
      <w:bookmarkEnd w:id="395"/>
      <w:bookmarkEnd w:id="396"/>
    </w:p>
    <w:p w14:paraId="65DE12CE" w14:textId="2388B62C" w:rsidR="00282DBC" w:rsidRPr="00481499" w:rsidRDefault="00282DBC" w:rsidP="00481499">
      <w:pPr>
        <w:spacing w:line="276" w:lineRule="auto"/>
        <w:rPr>
          <w:rFonts w:cstheme="minorHAnsi"/>
          <w:sz w:val="24"/>
          <w:szCs w:val="24"/>
        </w:rPr>
      </w:pPr>
      <w:r w:rsidRPr="00762814">
        <w:rPr>
          <w:rFonts w:cstheme="minorHAnsi"/>
          <w:sz w:val="24"/>
          <w:szCs w:val="24"/>
        </w:rPr>
        <w:t xml:space="preserve">W ramach tej kategorii kwalifikowalne są koszty nabycia </w:t>
      </w:r>
      <w:r>
        <w:rPr>
          <w:rFonts w:cstheme="minorHAnsi"/>
          <w:sz w:val="24"/>
          <w:szCs w:val="24"/>
        </w:rPr>
        <w:t>robót i materiałów budowlanych.</w:t>
      </w:r>
    </w:p>
    <w:p w14:paraId="57B009F6" w14:textId="23A1CE53" w:rsidR="00A70776" w:rsidRPr="00ED6E26" w:rsidRDefault="00BF2C43" w:rsidP="00A70776">
      <w:pPr>
        <w:pStyle w:val="Nagwek4"/>
        <w:spacing w:before="120" w:line="276" w:lineRule="auto"/>
        <w:rPr>
          <w:rFonts w:asciiTheme="minorHAnsi" w:hAnsiTheme="minorHAnsi" w:cstheme="minorHAnsi"/>
          <w:i w:val="0"/>
          <w:color w:val="auto"/>
          <w:sz w:val="28"/>
          <w:szCs w:val="28"/>
        </w:rPr>
      </w:pPr>
      <w:bookmarkStart w:id="397" w:name="_Toc202174374"/>
      <w:r>
        <w:rPr>
          <w:rFonts w:asciiTheme="minorHAnsi" w:hAnsiTheme="minorHAnsi" w:cstheme="minorHAnsi"/>
          <w:i w:val="0"/>
          <w:color w:val="auto"/>
          <w:sz w:val="28"/>
          <w:szCs w:val="28"/>
        </w:rPr>
        <w:t>3</w:t>
      </w:r>
      <w:r w:rsidR="00A70776">
        <w:rPr>
          <w:rFonts w:asciiTheme="minorHAnsi" w:hAnsiTheme="minorHAnsi" w:cstheme="minorHAnsi"/>
          <w:i w:val="0"/>
          <w:color w:val="auto"/>
          <w:sz w:val="28"/>
          <w:szCs w:val="28"/>
        </w:rPr>
        <w:t>.3.</w:t>
      </w:r>
      <w:r w:rsidR="00282DBC">
        <w:rPr>
          <w:rFonts w:asciiTheme="minorHAnsi" w:hAnsiTheme="minorHAnsi" w:cstheme="minorHAnsi"/>
          <w:i w:val="0"/>
          <w:color w:val="auto"/>
          <w:sz w:val="28"/>
          <w:szCs w:val="28"/>
        </w:rPr>
        <w:t>5</w:t>
      </w:r>
      <w:r w:rsidR="00A70776">
        <w:rPr>
          <w:rFonts w:asciiTheme="minorHAnsi" w:hAnsiTheme="minorHAnsi" w:cstheme="minorHAnsi"/>
          <w:i w:val="0"/>
          <w:color w:val="auto"/>
          <w:sz w:val="28"/>
          <w:szCs w:val="28"/>
        </w:rPr>
        <w:t xml:space="preserve"> </w:t>
      </w:r>
      <w:r w:rsidR="00A70776" w:rsidRPr="00ED6E26">
        <w:rPr>
          <w:rFonts w:asciiTheme="minorHAnsi" w:hAnsiTheme="minorHAnsi" w:cstheme="minorHAnsi"/>
          <w:i w:val="0"/>
          <w:color w:val="auto"/>
          <w:sz w:val="28"/>
          <w:szCs w:val="28"/>
        </w:rPr>
        <w:t>Wartości niematerialne i prawne</w:t>
      </w:r>
      <w:bookmarkEnd w:id="397"/>
    </w:p>
    <w:p w14:paraId="177AFC22" w14:textId="77777777" w:rsidR="00A70776" w:rsidRPr="00762814" w:rsidRDefault="00A70776" w:rsidP="00A70776">
      <w:pPr>
        <w:spacing w:after="0" w:line="276" w:lineRule="auto"/>
        <w:rPr>
          <w:rFonts w:cstheme="minorHAnsi"/>
          <w:sz w:val="24"/>
          <w:szCs w:val="24"/>
        </w:rPr>
      </w:pPr>
      <w:r w:rsidRPr="00762814">
        <w:rPr>
          <w:rFonts w:cstheme="minorHAnsi"/>
          <w:sz w:val="24"/>
          <w:szCs w:val="24"/>
        </w:rPr>
        <w:t>W ramach tej kategorii kwalifikowalne są koszty nabycia wartości niematerialnych i prawnych w formie patentów, licencji, know-how oraz innych praw własności intelektualnej, jeżeli spełniają łącznie następujące warunki:</w:t>
      </w:r>
    </w:p>
    <w:p w14:paraId="64276F0E" w14:textId="77777777" w:rsidR="00A70776" w:rsidRPr="00762814" w:rsidRDefault="00A70776" w:rsidP="00941ED8">
      <w:pPr>
        <w:pStyle w:val="Akapitzlist"/>
        <w:numPr>
          <w:ilvl w:val="0"/>
          <w:numId w:val="7"/>
        </w:numPr>
        <w:spacing w:after="120" w:line="276" w:lineRule="auto"/>
        <w:ind w:left="714" w:hanging="357"/>
        <w:rPr>
          <w:rFonts w:cstheme="minorHAnsi"/>
          <w:sz w:val="24"/>
          <w:szCs w:val="24"/>
        </w:rPr>
      </w:pPr>
      <w:r w:rsidRPr="00762814">
        <w:rPr>
          <w:rFonts w:cstheme="minorHAnsi"/>
          <w:sz w:val="24"/>
          <w:szCs w:val="24"/>
        </w:rPr>
        <w:t>będą wykorzystywane wyłącznie w zakładzie otrzymującym pomoc,</w:t>
      </w:r>
    </w:p>
    <w:p w14:paraId="57DC4998" w14:textId="77777777" w:rsidR="00A70776" w:rsidRPr="00762814" w:rsidRDefault="00A70776" w:rsidP="00941ED8">
      <w:pPr>
        <w:pStyle w:val="Akapitzlist"/>
        <w:numPr>
          <w:ilvl w:val="0"/>
          <w:numId w:val="7"/>
        </w:numPr>
        <w:spacing w:after="120" w:line="276" w:lineRule="auto"/>
        <w:ind w:left="714" w:hanging="357"/>
        <w:rPr>
          <w:rFonts w:cstheme="minorHAnsi"/>
          <w:sz w:val="24"/>
          <w:szCs w:val="24"/>
        </w:rPr>
      </w:pPr>
      <w:r w:rsidRPr="00762814">
        <w:rPr>
          <w:rFonts w:cstheme="minorHAnsi"/>
          <w:sz w:val="24"/>
          <w:szCs w:val="24"/>
        </w:rPr>
        <w:t>będą podlegać amortyzacji zgodnie z przepisami o rachunkowości,</w:t>
      </w:r>
    </w:p>
    <w:p w14:paraId="70F39AD5" w14:textId="604CF66D" w:rsidR="00606D3D" w:rsidRPr="00762814" w:rsidRDefault="00A70776" w:rsidP="00941ED8">
      <w:pPr>
        <w:pStyle w:val="Akapitzlist"/>
        <w:numPr>
          <w:ilvl w:val="0"/>
          <w:numId w:val="7"/>
        </w:numPr>
        <w:spacing w:after="120" w:line="276" w:lineRule="auto"/>
        <w:ind w:left="714" w:hanging="357"/>
        <w:rPr>
          <w:rFonts w:cstheme="minorHAnsi"/>
          <w:sz w:val="24"/>
          <w:szCs w:val="24"/>
        </w:rPr>
      </w:pPr>
      <w:r w:rsidRPr="00762814">
        <w:rPr>
          <w:rFonts w:cstheme="minorHAnsi"/>
          <w:sz w:val="24"/>
          <w:szCs w:val="24"/>
        </w:rPr>
        <w:t xml:space="preserve">zostaną nabyte na warunkach rynkowych od osób trzecich niepowiązanych </w:t>
      </w:r>
      <w:r w:rsidRPr="00762814">
        <w:rPr>
          <w:rFonts w:cstheme="minorHAnsi"/>
          <w:sz w:val="24"/>
          <w:szCs w:val="24"/>
        </w:rPr>
        <w:br/>
        <w:t>z przedsiębiorcą otrzymującym pomoc,</w:t>
      </w:r>
    </w:p>
    <w:p w14:paraId="068D49C7" w14:textId="28C3C890" w:rsidR="00606D3D" w:rsidRDefault="00A70776" w:rsidP="00606D3D">
      <w:pPr>
        <w:pStyle w:val="Akapitzlist"/>
        <w:numPr>
          <w:ilvl w:val="0"/>
          <w:numId w:val="7"/>
        </w:numPr>
        <w:spacing w:after="120" w:line="276" w:lineRule="auto"/>
        <w:ind w:left="714" w:hanging="357"/>
        <w:rPr>
          <w:rFonts w:cstheme="minorHAnsi"/>
          <w:sz w:val="24"/>
          <w:szCs w:val="24"/>
        </w:rPr>
      </w:pPr>
      <w:r w:rsidRPr="00151815">
        <w:rPr>
          <w:rFonts w:cstheme="minorHAnsi"/>
          <w:sz w:val="24"/>
          <w:szCs w:val="24"/>
        </w:rPr>
        <w:t xml:space="preserve">będą stanowić aktywa przedsiębiorcy otrzymującego pomoc i pozostaną związane z projektem, na który przyznano pomoc, przez okres co najmniej </w:t>
      </w:r>
      <w:r w:rsidR="001863B4" w:rsidRPr="00151815">
        <w:rPr>
          <w:rFonts w:cstheme="minorHAnsi"/>
          <w:sz w:val="24"/>
          <w:szCs w:val="24"/>
        </w:rPr>
        <w:t>5</w:t>
      </w:r>
      <w:r w:rsidRPr="00151815">
        <w:rPr>
          <w:rFonts w:cstheme="minorHAnsi"/>
          <w:sz w:val="24"/>
          <w:szCs w:val="24"/>
        </w:rPr>
        <w:t xml:space="preserve"> lat </w:t>
      </w:r>
      <w:r w:rsidR="00606D3D">
        <w:rPr>
          <w:rFonts w:cstheme="minorHAnsi"/>
          <w:sz w:val="24"/>
          <w:szCs w:val="24"/>
        </w:rPr>
        <w:t xml:space="preserve">liczonych </w:t>
      </w:r>
      <w:r w:rsidRPr="00151815">
        <w:rPr>
          <w:rFonts w:cstheme="minorHAnsi"/>
          <w:sz w:val="24"/>
          <w:szCs w:val="24"/>
        </w:rPr>
        <w:t>od dnia zakończenia realizacji projektu</w:t>
      </w:r>
      <w:r w:rsidR="001863B4" w:rsidRPr="00151815">
        <w:rPr>
          <w:rFonts w:cstheme="minorHAnsi"/>
          <w:sz w:val="24"/>
          <w:szCs w:val="24"/>
        </w:rPr>
        <w:t>, w przypadku MŚP</w:t>
      </w:r>
      <w:r w:rsidR="00606D3D">
        <w:rPr>
          <w:rFonts w:cstheme="minorHAnsi"/>
          <w:sz w:val="24"/>
          <w:szCs w:val="24"/>
        </w:rPr>
        <w:t xml:space="preserve"> -</w:t>
      </w:r>
      <w:r w:rsidR="00606D3D" w:rsidRPr="00BB38E4">
        <w:rPr>
          <w:rFonts w:cstheme="minorHAnsi"/>
          <w:sz w:val="24"/>
          <w:szCs w:val="24"/>
        </w:rPr>
        <w:t xml:space="preserve"> </w:t>
      </w:r>
      <w:r w:rsidR="00606D3D" w:rsidRPr="00664D9A">
        <w:rPr>
          <w:rFonts w:cstheme="minorHAnsi"/>
          <w:sz w:val="24"/>
          <w:szCs w:val="24"/>
        </w:rPr>
        <w:t xml:space="preserve">3 lat </w:t>
      </w:r>
      <w:r w:rsidR="00606D3D" w:rsidRPr="00BB38E4">
        <w:rPr>
          <w:rFonts w:cstheme="minorHAnsi"/>
          <w:sz w:val="24"/>
          <w:szCs w:val="24"/>
        </w:rPr>
        <w:t>liczonych od dnia zakończenia realizacji projektu</w:t>
      </w:r>
      <w:r w:rsidR="00606D3D" w:rsidRPr="00461F14">
        <w:rPr>
          <w:rFonts w:cstheme="minorHAnsi"/>
          <w:sz w:val="24"/>
          <w:szCs w:val="24"/>
        </w:rPr>
        <w:t>.</w:t>
      </w:r>
    </w:p>
    <w:p w14:paraId="1A289775" w14:textId="2DC10F60" w:rsidR="000E22FE" w:rsidRPr="00151815" w:rsidRDefault="00606D3D" w:rsidP="00151815">
      <w:pPr>
        <w:ind w:left="357"/>
        <w:rPr>
          <w:rFonts w:cstheme="minorHAnsi"/>
          <w:sz w:val="24"/>
          <w:szCs w:val="24"/>
        </w:rPr>
      </w:pPr>
      <w:r>
        <w:rPr>
          <w:rFonts w:cstheme="minorHAnsi"/>
          <w:sz w:val="24"/>
          <w:szCs w:val="24"/>
        </w:rPr>
        <w:t xml:space="preserve">W </w:t>
      </w:r>
      <w:r w:rsidR="00945B37" w:rsidRPr="00151815">
        <w:rPr>
          <w:rFonts w:cstheme="minorHAnsi"/>
          <w:sz w:val="24"/>
          <w:szCs w:val="24"/>
        </w:rPr>
        <w:t>przypadku dużych przedsiębior</w:t>
      </w:r>
      <w:r w:rsidR="00B41561" w:rsidRPr="00151815">
        <w:rPr>
          <w:rFonts w:cstheme="minorHAnsi"/>
          <w:sz w:val="24"/>
          <w:szCs w:val="24"/>
        </w:rPr>
        <w:t>ców</w:t>
      </w:r>
      <w:r w:rsidR="00945B37" w:rsidRPr="00151815">
        <w:rPr>
          <w:rFonts w:cstheme="minorHAnsi"/>
          <w:sz w:val="24"/>
          <w:szCs w:val="24"/>
        </w:rPr>
        <w:t xml:space="preserve"> koszty wartości niematerialnych i prawnych są kwalifikowalne jedynie do wysokości 50% całkowitych kwalifikowalnych kosztów inwestycji początkowej.</w:t>
      </w:r>
      <w:r w:rsidR="001863B4" w:rsidRPr="00151815">
        <w:rPr>
          <w:rFonts w:cstheme="minorHAnsi"/>
          <w:sz w:val="24"/>
          <w:szCs w:val="24"/>
        </w:rPr>
        <w:t xml:space="preserve"> W przypadku przedsiębiorcy będącego MŚP za koszty kwalifikowalne uznaje się 100 % kosztów wartości niematerialnych i prawnych.</w:t>
      </w:r>
    </w:p>
    <w:p w14:paraId="0CE33523" w14:textId="77777777" w:rsidR="008005BD" w:rsidRPr="00481499" w:rsidRDefault="008005BD" w:rsidP="00481499">
      <w:pPr>
        <w:spacing w:after="120" w:line="276" w:lineRule="auto"/>
        <w:rPr>
          <w:rFonts w:cstheme="minorHAnsi"/>
          <w:sz w:val="24"/>
          <w:szCs w:val="24"/>
        </w:rPr>
      </w:pPr>
    </w:p>
    <w:p w14:paraId="30946A09" w14:textId="72905D9C" w:rsidR="008005BD" w:rsidRPr="008005BD" w:rsidRDefault="00B01D58" w:rsidP="00481499">
      <w:pPr>
        <w:pStyle w:val="Nagwek2"/>
        <w:numPr>
          <w:ilvl w:val="0"/>
          <w:numId w:val="10"/>
        </w:numPr>
        <w:tabs>
          <w:tab w:val="left" w:pos="5954"/>
        </w:tabs>
        <w:spacing w:line="276" w:lineRule="auto"/>
        <w:ind w:left="714" w:hanging="357"/>
        <w:rPr>
          <w:rFonts w:asciiTheme="minorHAnsi" w:hAnsiTheme="minorHAnsi" w:cstheme="minorHAnsi"/>
          <w:b/>
          <w:color w:val="auto"/>
          <w:sz w:val="36"/>
          <w:szCs w:val="36"/>
        </w:rPr>
      </w:pPr>
      <w:bookmarkStart w:id="398" w:name="_Toc202174375"/>
      <w:r w:rsidRPr="009B65AD">
        <w:rPr>
          <w:rFonts w:asciiTheme="minorHAnsi" w:hAnsiTheme="minorHAnsi" w:cstheme="minorHAnsi"/>
          <w:b/>
          <w:color w:val="auto"/>
          <w:sz w:val="36"/>
          <w:szCs w:val="36"/>
        </w:rPr>
        <w:t>Wydatki kwalifikowalne na usługi doradcze</w:t>
      </w:r>
      <w:bookmarkEnd w:id="398"/>
      <w:r w:rsidRPr="009B65AD">
        <w:rPr>
          <w:rFonts w:asciiTheme="minorHAnsi" w:hAnsiTheme="minorHAnsi" w:cstheme="minorHAnsi"/>
          <w:b/>
          <w:color w:val="auto"/>
          <w:sz w:val="36"/>
          <w:szCs w:val="36"/>
        </w:rPr>
        <w:t xml:space="preserve"> </w:t>
      </w:r>
    </w:p>
    <w:p w14:paraId="41AB0CBE" w14:textId="7FD79843" w:rsidR="00AA1A45" w:rsidRPr="008005BD" w:rsidRDefault="00AA1A45" w:rsidP="00481499">
      <w:pPr>
        <w:pStyle w:val="Nagwek3"/>
        <w:numPr>
          <w:ilvl w:val="1"/>
          <w:numId w:val="10"/>
        </w:numPr>
        <w:spacing w:before="240" w:line="276" w:lineRule="auto"/>
        <w:ind w:left="425" w:hanging="425"/>
        <w:rPr>
          <w:rFonts w:asciiTheme="minorHAnsi" w:hAnsiTheme="minorHAnsi" w:cstheme="minorHAnsi"/>
          <w:color w:val="auto"/>
          <w:sz w:val="32"/>
        </w:rPr>
      </w:pPr>
      <w:bookmarkStart w:id="399" w:name="_Toc202174377"/>
      <w:r w:rsidRPr="008005BD">
        <w:rPr>
          <w:rFonts w:asciiTheme="minorHAnsi" w:hAnsiTheme="minorHAnsi" w:cstheme="minorHAnsi"/>
          <w:color w:val="auto"/>
          <w:sz w:val="32"/>
        </w:rPr>
        <w:t>Pomoc publiczna</w:t>
      </w:r>
      <w:bookmarkEnd w:id="399"/>
    </w:p>
    <w:p w14:paraId="1DFB1A4B" w14:textId="5F4050F2" w:rsidR="00971CC7" w:rsidRPr="00151815" w:rsidRDefault="00971CC7" w:rsidP="00151815">
      <w:pPr>
        <w:spacing w:after="0" w:line="276" w:lineRule="auto"/>
        <w:rPr>
          <w:rFonts w:cstheme="minorHAnsi"/>
          <w:sz w:val="24"/>
          <w:szCs w:val="24"/>
        </w:rPr>
      </w:pPr>
      <w:r w:rsidRPr="00762814">
        <w:rPr>
          <w:rFonts w:cstheme="minorHAnsi"/>
          <w:sz w:val="24"/>
          <w:szCs w:val="24"/>
        </w:rPr>
        <w:t xml:space="preserve">Wnioskodawca może uzyskać wsparcie w </w:t>
      </w:r>
      <w:r w:rsidR="006B18AC">
        <w:rPr>
          <w:rFonts w:cstheme="minorHAnsi"/>
          <w:sz w:val="24"/>
          <w:szCs w:val="24"/>
        </w:rPr>
        <w:t>projekcie</w:t>
      </w:r>
      <w:r w:rsidR="006B18AC" w:rsidRPr="00762814">
        <w:rPr>
          <w:rFonts w:cstheme="minorHAnsi"/>
          <w:sz w:val="24"/>
          <w:szCs w:val="24"/>
        </w:rPr>
        <w:t xml:space="preserve"> </w:t>
      </w:r>
      <w:r w:rsidRPr="00762814">
        <w:rPr>
          <w:rFonts w:cstheme="minorHAnsi"/>
          <w:sz w:val="24"/>
          <w:szCs w:val="24"/>
        </w:rPr>
        <w:t>na podstawie</w:t>
      </w:r>
      <w:r w:rsidR="006A63B6">
        <w:rPr>
          <w:rFonts w:cstheme="minorHAnsi"/>
          <w:sz w:val="24"/>
          <w:szCs w:val="24"/>
        </w:rPr>
        <w:t xml:space="preserve"> </w:t>
      </w:r>
      <w:r w:rsidRPr="00151815">
        <w:rPr>
          <w:rFonts w:cstheme="minorHAnsi"/>
          <w:sz w:val="24"/>
          <w:szCs w:val="24"/>
        </w:rPr>
        <w:t>rozporządzenia Komisji (UE) nr 651/2014 jako pomoc na usługi doradcze na rzecz MŚP (art. 18)</w:t>
      </w:r>
      <w:r w:rsidR="006A63B6">
        <w:rPr>
          <w:rFonts w:cstheme="minorHAnsi"/>
          <w:sz w:val="24"/>
          <w:szCs w:val="24"/>
        </w:rPr>
        <w:t>.</w:t>
      </w:r>
    </w:p>
    <w:p w14:paraId="6645E8CD" w14:textId="5A1636A3" w:rsidR="00AA1A45" w:rsidRPr="006A63B6" w:rsidRDefault="00AA1A45" w:rsidP="00481499">
      <w:pPr>
        <w:pStyle w:val="Nagwek3"/>
        <w:numPr>
          <w:ilvl w:val="1"/>
          <w:numId w:val="10"/>
        </w:numPr>
        <w:spacing w:before="240" w:line="276" w:lineRule="auto"/>
        <w:ind w:left="425" w:hanging="425"/>
        <w:rPr>
          <w:rFonts w:asciiTheme="minorHAnsi" w:hAnsiTheme="minorHAnsi" w:cstheme="minorHAnsi"/>
          <w:color w:val="auto"/>
          <w:sz w:val="32"/>
        </w:rPr>
      </w:pPr>
      <w:bookmarkStart w:id="400" w:name="_Toc201934607"/>
      <w:bookmarkStart w:id="401" w:name="_Toc201942107"/>
      <w:bookmarkStart w:id="402" w:name="_Toc202164600"/>
      <w:bookmarkStart w:id="403" w:name="_Toc202174378"/>
      <w:bookmarkStart w:id="404" w:name="_Toc202174379"/>
      <w:bookmarkStart w:id="405" w:name="_Hlk201930992"/>
      <w:bookmarkEnd w:id="400"/>
      <w:bookmarkEnd w:id="401"/>
      <w:bookmarkEnd w:id="402"/>
      <w:bookmarkEnd w:id="403"/>
      <w:r w:rsidRPr="006A63B6">
        <w:rPr>
          <w:rFonts w:asciiTheme="minorHAnsi" w:hAnsiTheme="minorHAnsi" w:cstheme="minorHAnsi"/>
          <w:color w:val="auto"/>
          <w:sz w:val="32"/>
        </w:rPr>
        <w:t>Limity wydatków kwalifikowalnych oraz limity dofinansowania</w:t>
      </w:r>
      <w:bookmarkEnd w:id="404"/>
    </w:p>
    <w:p w14:paraId="22913354" w14:textId="272D8967" w:rsidR="00D96081" w:rsidRDefault="00D96081" w:rsidP="00D96081">
      <w:pPr>
        <w:spacing w:after="120" w:line="276" w:lineRule="auto"/>
        <w:rPr>
          <w:rFonts w:cstheme="minorHAnsi"/>
          <w:color w:val="000000" w:themeColor="text1"/>
          <w:sz w:val="24"/>
          <w:u w:val="single"/>
        </w:rPr>
      </w:pPr>
      <w:r w:rsidRPr="006A63B6">
        <w:rPr>
          <w:rFonts w:cstheme="minorHAnsi"/>
          <w:color w:val="000000" w:themeColor="text1"/>
          <w:sz w:val="24"/>
          <w:u w:val="single"/>
        </w:rPr>
        <w:t>Limity wynikające z przepisów pomocy publicznej:</w:t>
      </w:r>
    </w:p>
    <w:p w14:paraId="53BA36FD" w14:textId="08710152" w:rsidR="00D96081" w:rsidRPr="00151815" w:rsidRDefault="00D96081" w:rsidP="00151815">
      <w:pPr>
        <w:spacing w:after="0" w:line="276" w:lineRule="auto"/>
        <w:rPr>
          <w:rFonts w:cstheme="minorHAnsi"/>
          <w:b/>
          <w:bCs/>
          <w:color w:val="000000" w:themeColor="text1"/>
          <w:sz w:val="24"/>
        </w:rPr>
      </w:pPr>
      <w:r w:rsidRPr="00753895">
        <w:rPr>
          <w:rFonts w:cstheme="minorHAnsi"/>
          <w:color w:val="000000" w:themeColor="text1"/>
          <w:sz w:val="24"/>
        </w:rPr>
        <w:t>Intensywność pomocy nie może przekroczyć</w:t>
      </w:r>
      <w:r w:rsidR="006A63B6">
        <w:rPr>
          <w:rFonts w:cstheme="minorHAnsi"/>
          <w:color w:val="000000" w:themeColor="text1"/>
          <w:sz w:val="24"/>
        </w:rPr>
        <w:t xml:space="preserve"> </w:t>
      </w:r>
      <w:r w:rsidRPr="00151815">
        <w:rPr>
          <w:rFonts w:cstheme="minorHAnsi"/>
          <w:color w:val="000000" w:themeColor="text1"/>
          <w:sz w:val="24"/>
        </w:rPr>
        <w:t xml:space="preserve">50% </w:t>
      </w:r>
      <w:r w:rsidR="00A61913" w:rsidRPr="00151815">
        <w:rPr>
          <w:rFonts w:cstheme="minorHAnsi"/>
          <w:color w:val="000000" w:themeColor="text1"/>
          <w:sz w:val="24"/>
        </w:rPr>
        <w:t>kosztów kwalifikowalnych</w:t>
      </w:r>
      <w:r w:rsidR="00612D1C">
        <w:rPr>
          <w:rFonts w:cstheme="minorHAnsi"/>
          <w:color w:val="000000" w:themeColor="text1"/>
          <w:sz w:val="24"/>
        </w:rPr>
        <w:t>.</w:t>
      </w:r>
    </w:p>
    <w:p w14:paraId="5F2FAFF3" w14:textId="75C8EFD8" w:rsidR="00743E65" w:rsidRPr="006718AF" w:rsidRDefault="00743E65" w:rsidP="00481499">
      <w:pPr>
        <w:pStyle w:val="Nagwek3"/>
        <w:numPr>
          <w:ilvl w:val="1"/>
          <w:numId w:val="10"/>
        </w:numPr>
        <w:spacing w:before="240" w:line="276" w:lineRule="auto"/>
        <w:ind w:left="425" w:hanging="425"/>
        <w:rPr>
          <w:rFonts w:asciiTheme="minorHAnsi" w:hAnsiTheme="minorHAnsi" w:cstheme="minorHAnsi"/>
          <w:color w:val="auto"/>
          <w:sz w:val="32"/>
        </w:rPr>
      </w:pPr>
      <w:bookmarkStart w:id="406" w:name="_Toc201934609"/>
      <w:bookmarkStart w:id="407" w:name="_Toc201942109"/>
      <w:bookmarkStart w:id="408" w:name="_Toc202164602"/>
      <w:bookmarkStart w:id="409" w:name="_Toc202174380"/>
      <w:bookmarkStart w:id="410" w:name="_Toc202174381"/>
      <w:bookmarkEnd w:id="406"/>
      <w:bookmarkEnd w:id="407"/>
      <w:bookmarkEnd w:id="408"/>
      <w:bookmarkEnd w:id="409"/>
      <w:bookmarkEnd w:id="405"/>
      <w:r w:rsidRPr="006718AF">
        <w:rPr>
          <w:rFonts w:asciiTheme="minorHAnsi" w:hAnsiTheme="minorHAnsi" w:cstheme="minorHAnsi"/>
          <w:color w:val="auto"/>
          <w:sz w:val="32"/>
        </w:rPr>
        <w:t>Kategorie wydatków kwalifikowalnych</w:t>
      </w:r>
      <w:bookmarkEnd w:id="410"/>
    </w:p>
    <w:p w14:paraId="6DAF6A55" w14:textId="2C366ECC" w:rsidR="00743E65" w:rsidRPr="00ED6E26" w:rsidRDefault="00743E65" w:rsidP="00743E65">
      <w:pPr>
        <w:pStyle w:val="Nagwek4"/>
        <w:spacing w:before="120" w:line="276" w:lineRule="auto"/>
        <w:rPr>
          <w:rFonts w:asciiTheme="minorHAnsi" w:hAnsiTheme="minorHAnsi" w:cstheme="minorHAnsi"/>
          <w:i w:val="0"/>
          <w:color w:val="auto"/>
          <w:sz w:val="28"/>
          <w:szCs w:val="28"/>
        </w:rPr>
      </w:pPr>
      <w:bookmarkStart w:id="411" w:name="_Toc202174382"/>
      <w:r>
        <w:rPr>
          <w:rFonts w:asciiTheme="minorHAnsi" w:hAnsiTheme="minorHAnsi" w:cstheme="minorHAnsi"/>
          <w:i w:val="0"/>
          <w:color w:val="auto"/>
          <w:sz w:val="28"/>
          <w:szCs w:val="28"/>
        </w:rPr>
        <w:t xml:space="preserve">4.3.1 </w:t>
      </w:r>
      <w:r w:rsidRPr="00ED6E26">
        <w:rPr>
          <w:rFonts w:asciiTheme="minorHAnsi" w:hAnsiTheme="minorHAnsi" w:cstheme="minorHAnsi"/>
          <w:i w:val="0"/>
          <w:color w:val="auto"/>
          <w:sz w:val="28"/>
          <w:szCs w:val="28"/>
        </w:rPr>
        <w:t>Usługi zewnętrzne (doradztwo)</w:t>
      </w:r>
      <w:bookmarkEnd w:id="411"/>
    </w:p>
    <w:p w14:paraId="43AAC1F5" w14:textId="6C437522" w:rsidR="00A97249" w:rsidRPr="00693BA1" w:rsidRDefault="00743E65" w:rsidP="00A97249">
      <w:pPr>
        <w:spacing w:after="120" w:line="276" w:lineRule="auto"/>
        <w:rPr>
          <w:rFonts w:cstheme="minorHAnsi"/>
          <w:sz w:val="24"/>
          <w:szCs w:val="24"/>
        </w:rPr>
      </w:pPr>
      <w:r w:rsidRPr="00693BA1">
        <w:rPr>
          <w:rFonts w:cstheme="minorHAnsi"/>
          <w:sz w:val="24"/>
          <w:szCs w:val="24"/>
        </w:rPr>
        <w:t xml:space="preserve">Koszty usług doradczych niezbędnych do </w:t>
      </w:r>
      <w:r w:rsidR="00644224" w:rsidRPr="00693BA1">
        <w:rPr>
          <w:rFonts w:cstheme="minorHAnsi"/>
          <w:sz w:val="24"/>
          <w:szCs w:val="24"/>
        </w:rPr>
        <w:t>realizacji projektu</w:t>
      </w:r>
      <w:r w:rsidRPr="00693BA1">
        <w:rPr>
          <w:rFonts w:cstheme="minorHAnsi"/>
          <w:sz w:val="24"/>
          <w:szCs w:val="24"/>
        </w:rPr>
        <w:t xml:space="preserve"> świadczonych przez doradców zewnętrznych. </w:t>
      </w:r>
    </w:p>
    <w:p w14:paraId="605B3575" w14:textId="2156F46B" w:rsidR="003C57A2" w:rsidRPr="00693BA1" w:rsidRDefault="003C57A2" w:rsidP="00743E65">
      <w:pPr>
        <w:spacing w:after="120" w:line="276" w:lineRule="auto"/>
        <w:rPr>
          <w:rFonts w:eastAsia="Calibri" w:cstheme="minorHAnsi"/>
          <w:sz w:val="24"/>
          <w:szCs w:val="24"/>
        </w:rPr>
      </w:pPr>
      <w:r w:rsidRPr="00693BA1">
        <w:rPr>
          <w:rFonts w:eastAsia="Calibri" w:cstheme="minorHAnsi"/>
          <w:sz w:val="24"/>
          <w:szCs w:val="24"/>
        </w:rPr>
        <w:t xml:space="preserve">W ramach tej kategorii kwalifikowalne są </w:t>
      </w:r>
      <w:r w:rsidR="00985F69" w:rsidRPr="00693BA1">
        <w:rPr>
          <w:rFonts w:eastAsia="Calibri" w:cstheme="minorHAnsi"/>
          <w:sz w:val="24"/>
          <w:szCs w:val="24"/>
        </w:rPr>
        <w:t xml:space="preserve">m. in. </w:t>
      </w:r>
      <w:r w:rsidRPr="00693BA1">
        <w:rPr>
          <w:rFonts w:eastAsia="Calibri" w:cstheme="minorHAnsi"/>
          <w:sz w:val="24"/>
          <w:szCs w:val="24"/>
        </w:rPr>
        <w:t>koszty usług doradczych niezbędnych do realizacji projektu, świadczonych przez doradców zewnętrznych</w:t>
      </w:r>
      <w:r w:rsidRPr="00693BA1" w:rsidDel="003C05AD">
        <w:rPr>
          <w:rFonts w:eastAsia="Calibri" w:cstheme="minorHAnsi"/>
          <w:sz w:val="24"/>
          <w:szCs w:val="24"/>
        </w:rPr>
        <w:t xml:space="preserve"> </w:t>
      </w:r>
      <w:r w:rsidRPr="00693BA1">
        <w:rPr>
          <w:rFonts w:eastAsia="Calibri" w:cstheme="minorHAnsi"/>
          <w:sz w:val="24"/>
          <w:szCs w:val="24"/>
        </w:rPr>
        <w:t xml:space="preserve">tj. osoby fizyczne niezatrudnione u Wnioskodawcy, osoby prawne lub jednostki organizacyjne nieposiadające osobowości prawnej, które oferują usługi doradztwa. </w:t>
      </w:r>
    </w:p>
    <w:p w14:paraId="6951E11B" w14:textId="279BAAEE" w:rsidR="00E13D13" w:rsidRPr="00753895" w:rsidRDefault="00A97249" w:rsidP="00743E65">
      <w:pPr>
        <w:spacing w:after="120" w:line="276" w:lineRule="auto"/>
        <w:rPr>
          <w:rFonts w:eastAsia="Calibri" w:cstheme="minorHAnsi"/>
          <w:sz w:val="24"/>
          <w:szCs w:val="24"/>
        </w:rPr>
      </w:pPr>
      <w:r w:rsidRPr="00753895">
        <w:rPr>
          <w:rFonts w:eastAsia="Calibri" w:cstheme="minorHAnsi"/>
          <w:sz w:val="24"/>
          <w:szCs w:val="24"/>
        </w:rPr>
        <w:t>Usługi doradcze nie mogą mieć charakteru ciągłego ani okresowego, nie mogą być też związane z bieżącą działalnością operacyjną, w szczególności w zakresie doradztwa podatkowego, księgowego, stałej obsługi prawnej lub reklamy.</w:t>
      </w:r>
      <w:r w:rsidR="00985F69" w:rsidRPr="00693BA1">
        <w:rPr>
          <w:rFonts w:eastAsia="Calibri" w:cstheme="minorHAnsi"/>
          <w:sz w:val="24"/>
          <w:szCs w:val="24"/>
        </w:rPr>
        <w:t xml:space="preserve"> </w:t>
      </w:r>
      <w:r w:rsidR="00985F69" w:rsidRPr="00693BA1">
        <w:rPr>
          <w:rFonts w:cstheme="minorHAnsi"/>
          <w:sz w:val="24"/>
          <w:szCs w:val="24"/>
        </w:rPr>
        <w:t>Usługi realizowane wewnętrznie u Wnioskodawcy (przez pracowników Wnioskodawcy) oraz przez osoby i podmioty z nim powiązane</w:t>
      </w:r>
      <w:r w:rsidR="00985F69" w:rsidRPr="00693BA1">
        <w:rPr>
          <w:rStyle w:val="Odwoanieprzypisudolnego"/>
          <w:rFonts w:cstheme="minorHAnsi"/>
          <w:sz w:val="24"/>
          <w:szCs w:val="24"/>
        </w:rPr>
        <w:footnoteReference w:id="7"/>
      </w:r>
      <w:r w:rsidR="00985F69" w:rsidRPr="00693BA1">
        <w:rPr>
          <w:rFonts w:cstheme="minorHAnsi"/>
          <w:sz w:val="24"/>
          <w:szCs w:val="24"/>
        </w:rPr>
        <w:t xml:space="preserve"> są niekwalifikowalne.</w:t>
      </w:r>
    </w:p>
    <w:p w14:paraId="062357C6" w14:textId="1E2740F7" w:rsidR="00E13D13" w:rsidRDefault="00E13D13" w:rsidP="00E13D13">
      <w:pPr>
        <w:spacing w:line="276" w:lineRule="auto"/>
        <w:rPr>
          <w:b/>
          <w:bCs/>
          <w:sz w:val="24"/>
          <w:szCs w:val="24"/>
        </w:rPr>
      </w:pPr>
      <w:r>
        <w:rPr>
          <w:b/>
          <w:bCs/>
          <w:sz w:val="24"/>
          <w:szCs w:val="24"/>
        </w:rPr>
        <w:t>K</w:t>
      </w:r>
      <w:r w:rsidRPr="00753895">
        <w:rPr>
          <w:b/>
          <w:bCs/>
          <w:sz w:val="24"/>
          <w:szCs w:val="24"/>
        </w:rPr>
        <w:t xml:space="preserve">oszty te są objęte pomocą z art. </w:t>
      </w:r>
      <w:r>
        <w:rPr>
          <w:b/>
          <w:bCs/>
          <w:sz w:val="24"/>
          <w:szCs w:val="24"/>
        </w:rPr>
        <w:t>18</w:t>
      </w:r>
      <w:r w:rsidRPr="00753895">
        <w:rPr>
          <w:b/>
          <w:bCs/>
          <w:sz w:val="24"/>
          <w:szCs w:val="24"/>
        </w:rPr>
        <w:t xml:space="preserve"> rozporządzenia Komisji (UE) nr 651/2014 </w:t>
      </w:r>
      <w:r>
        <w:rPr>
          <w:b/>
          <w:bCs/>
          <w:sz w:val="24"/>
          <w:szCs w:val="24"/>
        </w:rPr>
        <w:t>dla MŚP.</w:t>
      </w:r>
    </w:p>
    <w:p w14:paraId="4133F48E" w14:textId="2BE2E3EC" w:rsidR="00AB7CE8" w:rsidRPr="00693BA1" w:rsidRDefault="00AB7CE8" w:rsidP="009B65AD">
      <w:pPr>
        <w:spacing w:after="120" w:line="276" w:lineRule="auto"/>
        <w:rPr>
          <w:rFonts w:cstheme="minorHAnsi"/>
          <w:bCs/>
          <w:sz w:val="24"/>
          <w:szCs w:val="24"/>
        </w:rPr>
      </w:pPr>
    </w:p>
    <w:p w14:paraId="65F28FEE" w14:textId="5E8929EE" w:rsidR="003C76B7" w:rsidRPr="00930477" w:rsidRDefault="003C76B7" w:rsidP="003901B9">
      <w:pPr>
        <w:pStyle w:val="Nagwek2"/>
        <w:pageBreakBefore/>
        <w:numPr>
          <w:ilvl w:val="0"/>
          <w:numId w:val="10"/>
        </w:numPr>
        <w:tabs>
          <w:tab w:val="left" w:pos="5954"/>
        </w:tabs>
        <w:spacing w:before="120" w:after="120" w:line="276" w:lineRule="auto"/>
        <w:ind w:left="425" w:hanging="357"/>
        <w:rPr>
          <w:rFonts w:asciiTheme="minorHAnsi" w:hAnsiTheme="minorHAnsi" w:cstheme="minorHAnsi"/>
          <w:b/>
          <w:color w:val="auto"/>
          <w:sz w:val="36"/>
          <w:szCs w:val="36"/>
        </w:rPr>
      </w:pPr>
      <w:bookmarkStart w:id="412" w:name="_Toc201934612"/>
      <w:bookmarkStart w:id="413" w:name="_Toc201942112"/>
      <w:bookmarkStart w:id="414" w:name="_Toc202164605"/>
      <w:bookmarkStart w:id="415" w:name="_Toc202174383"/>
      <w:bookmarkStart w:id="416" w:name="_Toc201934613"/>
      <w:bookmarkStart w:id="417" w:name="_Toc201942113"/>
      <w:bookmarkStart w:id="418" w:name="_Toc202164606"/>
      <w:bookmarkStart w:id="419" w:name="_Toc202174384"/>
      <w:bookmarkStart w:id="420" w:name="_Toc201934615"/>
      <w:bookmarkStart w:id="421" w:name="_Toc201942115"/>
      <w:bookmarkStart w:id="422" w:name="_Toc202164608"/>
      <w:bookmarkStart w:id="423" w:name="_Toc202174386"/>
      <w:bookmarkStart w:id="424" w:name="_Toc201934616"/>
      <w:bookmarkStart w:id="425" w:name="_Toc201942116"/>
      <w:bookmarkStart w:id="426" w:name="_Toc202164609"/>
      <w:bookmarkStart w:id="427" w:name="_Toc202174387"/>
      <w:bookmarkStart w:id="428" w:name="_Toc201934617"/>
      <w:bookmarkStart w:id="429" w:name="_Toc201942117"/>
      <w:bookmarkStart w:id="430" w:name="_Toc202164610"/>
      <w:bookmarkStart w:id="431" w:name="_Toc202174388"/>
      <w:bookmarkStart w:id="432" w:name="_Toc201934618"/>
      <w:bookmarkStart w:id="433" w:name="_Toc201942118"/>
      <w:bookmarkStart w:id="434" w:name="_Toc202164611"/>
      <w:bookmarkStart w:id="435" w:name="_Toc202174389"/>
      <w:bookmarkStart w:id="436" w:name="_Toc201934619"/>
      <w:bookmarkStart w:id="437" w:name="_Toc201942119"/>
      <w:bookmarkStart w:id="438" w:name="_Toc202164612"/>
      <w:bookmarkStart w:id="439" w:name="_Toc202174390"/>
      <w:bookmarkStart w:id="440" w:name="_Toc200109645"/>
      <w:bookmarkStart w:id="441" w:name="_Toc200347552"/>
      <w:bookmarkStart w:id="442" w:name="_Toc201898916"/>
      <w:bookmarkStart w:id="443" w:name="_Toc201910175"/>
      <w:bookmarkStart w:id="444" w:name="_Toc201913100"/>
      <w:bookmarkStart w:id="445" w:name="_Toc201914264"/>
      <w:bookmarkStart w:id="446" w:name="_Toc201917849"/>
      <w:bookmarkStart w:id="447" w:name="_Toc201918088"/>
      <w:bookmarkStart w:id="448" w:name="_Toc201929457"/>
      <w:bookmarkStart w:id="449" w:name="_Toc201934620"/>
      <w:bookmarkStart w:id="450" w:name="_Toc201942120"/>
      <w:bookmarkStart w:id="451" w:name="_Toc202164613"/>
      <w:bookmarkStart w:id="452" w:name="_Toc202174391"/>
      <w:bookmarkStart w:id="453" w:name="_Toc202174392"/>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sidRPr="00930477">
        <w:rPr>
          <w:rFonts w:asciiTheme="minorHAnsi" w:hAnsiTheme="minorHAnsi" w:cstheme="minorHAnsi"/>
          <w:b/>
          <w:color w:val="auto"/>
          <w:sz w:val="36"/>
          <w:szCs w:val="36"/>
        </w:rPr>
        <w:lastRenderedPageBreak/>
        <w:t xml:space="preserve">Wydatki kwalifikowalne </w:t>
      </w:r>
      <w:r>
        <w:rPr>
          <w:rFonts w:asciiTheme="minorHAnsi" w:hAnsiTheme="minorHAnsi" w:cstheme="minorHAnsi"/>
          <w:b/>
          <w:color w:val="auto"/>
          <w:sz w:val="36"/>
          <w:szCs w:val="36"/>
        </w:rPr>
        <w:t>na w</w:t>
      </w:r>
      <w:r w:rsidR="00B52127">
        <w:rPr>
          <w:rFonts w:asciiTheme="minorHAnsi" w:hAnsiTheme="minorHAnsi" w:cstheme="minorHAnsi"/>
          <w:b/>
          <w:color w:val="auto"/>
          <w:sz w:val="36"/>
          <w:szCs w:val="36"/>
        </w:rPr>
        <w:t>s</w:t>
      </w:r>
      <w:r>
        <w:rPr>
          <w:rFonts w:asciiTheme="minorHAnsi" w:hAnsiTheme="minorHAnsi" w:cstheme="minorHAnsi"/>
          <w:b/>
          <w:color w:val="auto"/>
          <w:sz w:val="36"/>
          <w:szCs w:val="36"/>
        </w:rPr>
        <w:t>pieranie innowacyjności</w:t>
      </w:r>
      <w:bookmarkEnd w:id="453"/>
    </w:p>
    <w:p w14:paraId="25888E61" w14:textId="35A9F7E1" w:rsidR="003C76B7" w:rsidRDefault="003C76B7" w:rsidP="00151815">
      <w:pPr>
        <w:pStyle w:val="Nagwek3"/>
        <w:numPr>
          <w:ilvl w:val="1"/>
          <w:numId w:val="10"/>
        </w:numPr>
        <w:spacing w:before="240" w:line="276" w:lineRule="auto"/>
        <w:rPr>
          <w:rFonts w:asciiTheme="minorHAnsi" w:hAnsiTheme="minorHAnsi" w:cstheme="minorHAnsi"/>
          <w:color w:val="auto"/>
          <w:sz w:val="32"/>
        </w:rPr>
      </w:pPr>
      <w:bookmarkStart w:id="454" w:name="_Toc202174393"/>
      <w:r w:rsidRPr="00930477">
        <w:rPr>
          <w:rFonts w:asciiTheme="minorHAnsi" w:hAnsiTheme="minorHAnsi" w:cstheme="minorHAnsi"/>
          <w:color w:val="auto"/>
          <w:sz w:val="32"/>
        </w:rPr>
        <w:t>Pomoc publiczna</w:t>
      </w:r>
      <w:bookmarkEnd w:id="454"/>
    </w:p>
    <w:p w14:paraId="7C506FB0" w14:textId="563A1E21" w:rsidR="002F2AE6" w:rsidRPr="00151815" w:rsidRDefault="002F2AE6" w:rsidP="00151815">
      <w:pPr>
        <w:spacing w:after="0" w:line="276" w:lineRule="auto"/>
        <w:rPr>
          <w:rFonts w:cstheme="minorHAnsi"/>
          <w:sz w:val="24"/>
          <w:szCs w:val="24"/>
        </w:rPr>
      </w:pPr>
      <w:r w:rsidRPr="00762814">
        <w:rPr>
          <w:rFonts w:cstheme="minorHAnsi"/>
          <w:sz w:val="24"/>
          <w:szCs w:val="24"/>
        </w:rPr>
        <w:t xml:space="preserve">Wnioskodawca może uzyskać wsparcie w </w:t>
      </w:r>
      <w:r>
        <w:rPr>
          <w:rFonts w:cstheme="minorHAnsi"/>
          <w:sz w:val="24"/>
          <w:szCs w:val="24"/>
        </w:rPr>
        <w:t>projekcie</w:t>
      </w:r>
      <w:r w:rsidRPr="00762814">
        <w:rPr>
          <w:rFonts w:cstheme="minorHAnsi"/>
          <w:sz w:val="24"/>
          <w:szCs w:val="24"/>
        </w:rPr>
        <w:t xml:space="preserve"> na podstawie</w:t>
      </w:r>
      <w:r w:rsidR="00202C42">
        <w:rPr>
          <w:rFonts w:cstheme="minorHAnsi"/>
          <w:bCs/>
          <w:sz w:val="24"/>
          <w:szCs w:val="24"/>
        </w:rPr>
        <w:t xml:space="preserve"> </w:t>
      </w:r>
      <w:r w:rsidRPr="00151815">
        <w:rPr>
          <w:rFonts w:cstheme="minorHAnsi"/>
          <w:bCs/>
          <w:sz w:val="24"/>
          <w:szCs w:val="24"/>
        </w:rPr>
        <w:t>rozporządzenia Komisji (UE) nr 651/2014</w:t>
      </w:r>
      <w:r w:rsidRPr="00151815">
        <w:rPr>
          <w:rFonts w:cstheme="minorHAnsi"/>
          <w:sz w:val="24"/>
          <w:szCs w:val="24"/>
        </w:rPr>
        <w:t xml:space="preserve"> jako </w:t>
      </w:r>
      <w:r w:rsidRPr="00151815">
        <w:rPr>
          <w:rFonts w:cstheme="minorHAnsi"/>
          <w:bCs/>
          <w:sz w:val="24"/>
          <w:szCs w:val="24"/>
        </w:rPr>
        <w:t>pomoc dla MŚP na wspieranie innowacyjności</w:t>
      </w:r>
      <w:r w:rsidRPr="00151815">
        <w:rPr>
          <w:rFonts w:cstheme="minorHAnsi"/>
          <w:sz w:val="24"/>
          <w:szCs w:val="24"/>
        </w:rPr>
        <w:t xml:space="preserve"> </w:t>
      </w:r>
      <w:r w:rsidRPr="00151815">
        <w:rPr>
          <w:rFonts w:cstheme="minorHAnsi"/>
          <w:bCs/>
          <w:sz w:val="24"/>
          <w:szCs w:val="24"/>
        </w:rPr>
        <w:t>(art. 28</w:t>
      </w:r>
      <w:r w:rsidRPr="00151815">
        <w:rPr>
          <w:rFonts w:cstheme="minorHAnsi"/>
          <w:sz w:val="24"/>
          <w:szCs w:val="24"/>
        </w:rPr>
        <w:t>)</w:t>
      </w:r>
      <w:r w:rsidR="00202C42" w:rsidRPr="00151815">
        <w:rPr>
          <w:rFonts w:cstheme="minorHAnsi"/>
          <w:sz w:val="24"/>
          <w:szCs w:val="24"/>
        </w:rPr>
        <w:t>.</w:t>
      </w:r>
    </w:p>
    <w:p w14:paraId="17533690" w14:textId="38CC0696" w:rsidR="003C76B7" w:rsidRPr="00753895" w:rsidRDefault="003C76B7" w:rsidP="00481499">
      <w:pPr>
        <w:pStyle w:val="Nagwek3"/>
        <w:numPr>
          <w:ilvl w:val="1"/>
          <w:numId w:val="39"/>
        </w:numPr>
        <w:spacing w:before="240" w:line="276" w:lineRule="auto"/>
        <w:rPr>
          <w:rFonts w:cstheme="minorHAnsi"/>
          <w:color w:val="auto"/>
          <w:sz w:val="32"/>
        </w:rPr>
      </w:pPr>
      <w:bookmarkStart w:id="455" w:name="_Toc201934623"/>
      <w:bookmarkStart w:id="456" w:name="_Toc201942123"/>
      <w:bookmarkStart w:id="457" w:name="_Toc202164616"/>
      <w:bookmarkStart w:id="458" w:name="_Toc202174394"/>
      <w:bookmarkStart w:id="459" w:name="_Toc202174395"/>
      <w:bookmarkEnd w:id="455"/>
      <w:bookmarkEnd w:id="456"/>
      <w:bookmarkEnd w:id="457"/>
      <w:bookmarkEnd w:id="458"/>
      <w:r w:rsidRPr="00753895">
        <w:rPr>
          <w:rFonts w:asciiTheme="minorHAnsi" w:hAnsiTheme="minorHAnsi" w:cstheme="minorHAnsi"/>
          <w:color w:val="auto"/>
          <w:sz w:val="32"/>
        </w:rPr>
        <w:t>Limity wydatków kwalifikowalnych oraz limity dofinansowania</w:t>
      </w:r>
      <w:bookmarkEnd w:id="459"/>
    </w:p>
    <w:p w14:paraId="5AA6DE3B" w14:textId="77777777" w:rsidR="007A4FD2" w:rsidRDefault="007A4FD2" w:rsidP="007A4FD2">
      <w:pPr>
        <w:spacing w:after="120" w:line="276" w:lineRule="auto"/>
        <w:rPr>
          <w:rFonts w:cstheme="minorHAnsi"/>
          <w:color w:val="000000" w:themeColor="text1"/>
          <w:sz w:val="24"/>
          <w:u w:val="single"/>
        </w:rPr>
      </w:pPr>
      <w:r w:rsidRPr="00753895">
        <w:rPr>
          <w:rFonts w:cstheme="minorHAnsi"/>
          <w:color w:val="000000" w:themeColor="text1"/>
          <w:sz w:val="24"/>
          <w:u w:val="single"/>
        </w:rPr>
        <w:t>Limity wynikające z przepisów pomocy publicznej:</w:t>
      </w:r>
    </w:p>
    <w:p w14:paraId="2C149F80" w14:textId="1A963EDF" w:rsidR="007A4FD2" w:rsidRPr="00151815" w:rsidRDefault="007A4FD2" w:rsidP="00151815">
      <w:pPr>
        <w:spacing w:after="0" w:line="276" w:lineRule="auto"/>
        <w:rPr>
          <w:rFonts w:cstheme="minorHAnsi"/>
          <w:color w:val="000000" w:themeColor="text1"/>
          <w:sz w:val="24"/>
        </w:rPr>
      </w:pPr>
      <w:r w:rsidRPr="00753895">
        <w:rPr>
          <w:rFonts w:cstheme="minorHAnsi"/>
          <w:color w:val="000000" w:themeColor="text1"/>
          <w:sz w:val="24"/>
        </w:rPr>
        <w:t>Intensywność pomocy nie może przekroczyć</w:t>
      </w:r>
      <w:r w:rsidR="009A0D85">
        <w:rPr>
          <w:rFonts w:cstheme="minorHAnsi"/>
          <w:color w:val="000000" w:themeColor="text1"/>
          <w:sz w:val="24"/>
        </w:rPr>
        <w:t xml:space="preserve"> </w:t>
      </w:r>
      <w:r w:rsidRPr="00151815">
        <w:rPr>
          <w:rFonts w:cstheme="minorHAnsi"/>
          <w:color w:val="000000" w:themeColor="text1"/>
          <w:sz w:val="24"/>
        </w:rPr>
        <w:t xml:space="preserve">50% </w:t>
      </w:r>
      <w:r w:rsidR="00606275" w:rsidRPr="00151815">
        <w:rPr>
          <w:rFonts w:cstheme="minorHAnsi"/>
          <w:color w:val="000000" w:themeColor="text1"/>
          <w:sz w:val="24"/>
        </w:rPr>
        <w:t>kosztów kwalifikowalnych</w:t>
      </w:r>
      <w:r w:rsidR="009A0D85">
        <w:rPr>
          <w:rFonts w:cstheme="minorHAnsi"/>
          <w:color w:val="000000" w:themeColor="text1"/>
          <w:sz w:val="24"/>
        </w:rPr>
        <w:t>.</w:t>
      </w:r>
    </w:p>
    <w:p w14:paraId="161FEAC6" w14:textId="79D74508" w:rsidR="003C76B7" w:rsidRPr="00753895" w:rsidRDefault="003C76B7" w:rsidP="003901B9">
      <w:pPr>
        <w:pStyle w:val="Nagwek3"/>
        <w:spacing w:before="240" w:line="276" w:lineRule="auto"/>
        <w:rPr>
          <w:rFonts w:cstheme="minorHAnsi"/>
          <w:color w:val="auto"/>
          <w:sz w:val="32"/>
        </w:rPr>
      </w:pPr>
      <w:bookmarkStart w:id="460" w:name="_Toc202174397"/>
      <w:r>
        <w:rPr>
          <w:rFonts w:asciiTheme="minorHAnsi" w:hAnsiTheme="minorHAnsi" w:cstheme="minorHAnsi"/>
          <w:color w:val="auto"/>
          <w:sz w:val="32"/>
        </w:rPr>
        <w:t xml:space="preserve">5.3 </w:t>
      </w:r>
      <w:r w:rsidRPr="00753895">
        <w:rPr>
          <w:rFonts w:asciiTheme="minorHAnsi" w:hAnsiTheme="minorHAnsi" w:cstheme="minorHAnsi"/>
          <w:color w:val="auto"/>
          <w:sz w:val="32"/>
        </w:rPr>
        <w:t>Kategorie wydatków kwalifikowalnych</w:t>
      </w:r>
      <w:bookmarkEnd w:id="460"/>
    </w:p>
    <w:p w14:paraId="68ACE639" w14:textId="1E46EB12" w:rsidR="00A26AD8" w:rsidRPr="00ED6E26" w:rsidRDefault="003C76B7" w:rsidP="00A26AD8">
      <w:pPr>
        <w:pStyle w:val="Nagwek4"/>
        <w:spacing w:before="120" w:line="276" w:lineRule="auto"/>
        <w:rPr>
          <w:rFonts w:asciiTheme="minorHAnsi" w:hAnsiTheme="minorHAnsi" w:cstheme="minorHAnsi"/>
          <w:i w:val="0"/>
          <w:color w:val="auto"/>
          <w:sz w:val="28"/>
          <w:szCs w:val="28"/>
        </w:rPr>
      </w:pPr>
      <w:bookmarkStart w:id="461" w:name="_Toc202174398"/>
      <w:r>
        <w:rPr>
          <w:rFonts w:asciiTheme="minorHAnsi" w:hAnsiTheme="minorHAnsi" w:cstheme="minorHAnsi"/>
          <w:i w:val="0"/>
          <w:color w:val="auto"/>
          <w:sz w:val="28"/>
          <w:szCs w:val="28"/>
        </w:rPr>
        <w:t xml:space="preserve">5.3.1 </w:t>
      </w:r>
      <w:r w:rsidR="00A26AD8" w:rsidRPr="00ED6E26">
        <w:rPr>
          <w:rFonts w:asciiTheme="minorHAnsi" w:hAnsiTheme="minorHAnsi" w:cstheme="minorHAnsi"/>
          <w:i w:val="0"/>
          <w:color w:val="auto"/>
          <w:sz w:val="28"/>
          <w:szCs w:val="28"/>
        </w:rPr>
        <w:t>Usługi zewnętrzne (wsparcie innowacji)</w:t>
      </w:r>
      <w:bookmarkEnd w:id="461"/>
    </w:p>
    <w:p w14:paraId="4C090A5F" w14:textId="21BC06D7" w:rsidR="00A26AD8" w:rsidRPr="00F24C36" w:rsidRDefault="00A26AD8" w:rsidP="00A26AD8">
      <w:pPr>
        <w:spacing w:line="276" w:lineRule="auto"/>
        <w:rPr>
          <w:rFonts w:cstheme="minorHAnsi"/>
          <w:sz w:val="24"/>
          <w:szCs w:val="24"/>
        </w:rPr>
      </w:pPr>
      <w:r w:rsidRPr="00F24C36">
        <w:rPr>
          <w:rFonts w:cstheme="minorHAnsi"/>
          <w:sz w:val="24"/>
          <w:szCs w:val="24"/>
        </w:rPr>
        <w:t xml:space="preserve">W ramach tej kategorii kwalifikowalne są koszty udostępnienia banków danych, zasobów bibliotecznych, usług w chmurze </w:t>
      </w:r>
      <w:r w:rsidRPr="00F24C36">
        <w:rPr>
          <w:rStyle w:val="ui-provider"/>
          <w:rFonts w:cstheme="minorHAnsi"/>
          <w:sz w:val="24"/>
          <w:szCs w:val="24"/>
        </w:rPr>
        <w:t>i usług przechowywania danych</w:t>
      </w:r>
      <w:r w:rsidRPr="00F24C36">
        <w:rPr>
          <w:rFonts w:cstheme="minorHAnsi"/>
          <w:sz w:val="24"/>
          <w:szCs w:val="24"/>
        </w:rPr>
        <w:t xml:space="preserve">, badań rynku, laboratoriów, usług w zakresie zdolności obliczeniowych, takie jak oferowane przez High-performance </w:t>
      </w:r>
      <w:proofErr w:type="spellStart"/>
      <w:r w:rsidRPr="00F24C36">
        <w:rPr>
          <w:rFonts w:cstheme="minorHAnsi"/>
          <w:sz w:val="24"/>
          <w:szCs w:val="24"/>
        </w:rPr>
        <w:t>computing</w:t>
      </w:r>
      <w:proofErr w:type="spellEnd"/>
      <w:r w:rsidRPr="00F24C36">
        <w:rPr>
          <w:rFonts w:cstheme="minorHAnsi"/>
          <w:sz w:val="24"/>
          <w:szCs w:val="24"/>
        </w:rPr>
        <w:t xml:space="preserve"> (HPC), koszty znakowania, testowania i certyfikacji jakości</w:t>
      </w:r>
      <w:r w:rsidR="001E3C0B" w:rsidRPr="00F24C36">
        <w:rPr>
          <w:rFonts w:cstheme="minorHAnsi"/>
          <w:sz w:val="24"/>
          <w:szCs w:val="24"/>
        </w:rPr>
        <w:t xml:space="preserve">, w tym koszty weryfikacji technologii środowiskowych (ETV – </w:t>
      </w:r>
      <w:proofErr w:type="spellStart"/>
      <w:r w:rsidR="001E3C0B" w:rsidRPr="00F24C36">
        <w:rPr>
          <w:rFonts w:cstheme="minorHAnsi"/>
          <w:sz w:val="24"/>
          <w:szCs w:val="24"/>
        </w:rPr>
        <w:t>Environmental</w:t>
      </w:r>
      <w:proofErr w:type="spellEnd"/>
      <w:r w:rsidR="001E3C0B" w:rsidRPr="00F24C36">
        <w:rPr>
          <w:rFonts w:cstheme="minorHAnsi"/>
          <w:sz w:val="24"/>
          <w:szCs w:val="24"/>
        </w:rPr>
        <w:t xml:space="preserve"> Technology </w:t>
      </w:r>
      <w:proofErr w:type="spellStart"/>
      <w:r w:rsidR="001E3C0B" w:rsidRPr="00F24C36">
        <w:rPr>
          <w:rFonts w:cstheme="minorHAnsi"/>
          <w:sz w:val="24"/>
          <w:szCs w:val="24"/>
        </w:rPr>
        <w:t>Vertification</w:t>
      </w:r>
      <w:proofErr w:type="spellEnd"/>
      <w:r w:rsidR="001E3C0B" w:rsidRPr="00F24C36">
        <w:rPr>
          <w:rFonts w:cstheme="minorHAnsi"/>
          <w:sz w:val="24"/>
          <w:szCs w:val="24"/>
        </w:rPr>
        <w:t xml:space="preserve">), </w:t>
      </w:r>
      <w:r w:rsidRPr="00F24C36">
        <w:rPr>
          <w:rFonts w:cstheme="minorHAnsi"/>
          <w:sz w:val="24"/>
          <w:szCs w:val="24"/>
        </w:rPr>
        <w:t>w celu opracowania bardziej efektywnych produktów, procesów i usług</w:t>
      </w:r>
      <w:r w:rsidR="001E3C0B" w:rsidRPr="00F24C36">
        <w:rPr>
          <w:rFonts w:cstheme="minorHAnsi"/>
          <w:sz w:val="24"/>
          <w:szCs w:val="24"/>
        </w:rPr>
        <w:t xml:space="preserve">, poniesione po dniu złożenia wniosku. </w:t>
      </w:r>
    </w:p>
    <w:p w14:paraId="3A810111" w14:textId="70368ED4" w:rsidR="00ED54C1" w:rsidRDefault="005266EF" w:rsidP="00A26AD8">
      <w:pPr>
        <w:spacing w:line="276" w:lineRule="auto"/>
        <w:rPr>
          <w:b/>
          <w:bCs/>
          <w:sz w:val="24"/>
          <w:szCs w:val="24"/>
        </w:rPr>
      </w:pPr>
      <w:r>
        <w:rPr>
          <w:b/>
          <w:bCs/>
          <w:sz w:val="24"/>
          <w:szCs w:val="24"/>
        </w:rPr>
        <w:t>K</w:t>
      </w:r>
      <w:r w:rsidR="00E652E7" w:rsidRPr="00753895">
        <w:rPr>
          <w:b/>
          <w:bCs/>
          <w:sz w:val="24"/>
          <w:szCs w:val="24"/>
        </w:rPr>
        <w:t>oszty te są objęte pomocą z art. 28 rozporządzenia Komisji (UE) nr 651/2014 (usługi wsparcia innowacji, o których mowa w art. 2 pkt 95</w:t>
      </w:r>
      <w:r w:rsidR="0092522D" w:rsidRPr="0092522D">
        <w:rPr>
          <w:b/>
          <w:bCs/>
          <w:sz w:val="24"/>
          <w:szCs w:val="24"/>
        </w:rPr>
        <w:t xml:space="preserve"> </w:t>
      </w:r>
      <w:r w:rsidR="0092522D">
        <w:rPr>
          <w:b/>
          <w:bCs/>
          <w:sz w:val="24"/>
          <w:szCs w:val="24"/>
        </w:rPr>
        <w:t>tego rozporządzenia</w:t>
      </w:r>
      <w:r w:rsidR="00E652E7" w:rsidRPr="00753895">
        <w:rPr>
          <w:b/>
          <w:bCs/>
          <w:sz w:val="24"/>
          <w:szCs w:val="24"/>
        </w:rPr>
        <w:t>)</w:t>
      </w:r>
      <w:r>
        <w:rPr>
          <w:b/>
          <w:bCs/>
          <w:sz w:val="24"/>
          <w:szCs w:val="24"/>
        </w:rPr>
        <w:t xml:space="preserve"> dla MŚP.</w:t>
      </w:r>
    </w:p>
    <w:p w14:paraId="6C9BE466" w14:textId="77777777" w:rsidR="0014165E" w:rsidRPr="00F24C36" w:rsidRDefault="0014165E" w:rsidP="00A26AD8">
      <w:pPr>
        <w:spacing w:line="276" w:lineRule="auto"/>
        <w:rPr>
          <w:rFonts w:cstheme="minorHAnsi"/>
          <w:b/>
          <w:bCs/>
          <w:sz w:val="24"/>
          <w:szCs w:val="24"/>
        </w:rPr>
      </w:pPr>
    </w:p>
    <w:p w14:paraId="020AE1EA" w14:textId="5A967B34" w:rsidR="00746939" w:rsidRPr="0040508C" w:rsidRDefault="00746939" w:rsidP="00481499">
      <w:pPr>
        <w:pStyle w:val="Nagwek2"/>
        <w:numPr>
          <w:ilvl w:val="0"/>
          <w:numId w:val="39"/>
        </w:numPr>
        <w:tabs>
          <w:tab w:val="left" w:pos="5954"/>
        </w:tabs>
        <w:spacing w:before="120" w:after="120" w:line="276" w:lineRule="auto"/>
        <w:ind w:left="425" w:hanging="357"/>
        <w:rPr>
          <w:rFonts w:asciiTheme="minorHAnsi" w:hAnsiTheme="minorHAnsi" w:cstheme="minorHAnsi"/>
          <w:b/>
          <w:color w:val="auto"/>
          <w:sz w:val="36"/>
          <w:szCs w:val="36"/>
        </w:rPr>
      </w:pPr>
      <w:bookmarkStart w:id="462" w:name="_Toc201910182"/>
      <w:bookmarkStart w:id="463" w:name="_Toc201913107"/>
      <w:bookmarkStart w:id="464" w:name="_Toc201914271"/>
      <w:bookmarkStart w:id="465" w:name="_Toc201917856"/>
      <w:bookmarkStart w:id="466" w:name="_Toc201918095"/>
      <w:bookmarkStart w:id="467" w:name="_Toc201929464"/>
      <w:bookmarkStart w:id="468" w:name="_Toc201934628"/>
      <w:bookmarkStart w:id="469" w:name="_Toc201942128"/>
      <w:bookmarkStart w:id="470" w:name="_Toc202164621"/>
      <w:bookmarkStart w:id="471" w:name="_Toc202174399"/>
      <w:bookmarkStart w:id="472" w:name="_Toc201910183"/>
      <w:bookmarkStart w:id="473" w:name="_Toc201913108"/>
      <w:bookmarkStart w:id="474" w:name="_Toc201914272"/>
      <w:bookmarkStart w:id="475" w:name="_Toc201917857"/>
      <w:bookmarkStart w:id="476" w:name="_Toc201918096"/>
      <w:bookmarkStart w:id="477" w:name="_Toc201929465"/>
      <w:bookmarkStart w:id="478" w:name="_Toc201934629"/>
      <w:bookmarkStart w:id="479" w:name="_Toc201942129"/>
      <w:bookmarkStart w:id="480" w:name="_Toc202164622"/>
      <w:bookmarkStart w:id="481" w:name="_Toc202174400"/>
      <w:bookmarkStart w:id="482" w:name="_Toc201910184"/>
      <w:bookmarkStart w:id="483" w:name="_Toc201913109"/>
      <w:bookmarkStart w:id="484" w:name="_Toc201914273"/>
      <w:bookmarkStart w:id="485" w:name="_Toc201917858"/>
      <w:bookmarkStart w:id="486" w:name="_Toc201918097"/>
      <w:bookmarkStart w:id="487" w:name="_Toc201929466"/>
      <w:bookmarkStart w:id="488" w:name="_Toc201934630"/>
      <w:bookmarkStart w:id="489" w:name="_Toc201942130"/>
      <w:bookmarkStart w:id="490" w:name="_Toc202164623"/>
      <w:bookmarkStart w:id="491" w:name="_Toc202174401"/>
      <w:bookmarkStart w:id="492" w:name="_Toc201910185"/>
      <w:bookmarkStart w:id="493" w:name="_Toc201913110"/>
      <w:bookmarkStart w:id="494" w:name="_Toc201914274"/>
      <w:bookmarkStart w:id="495" w:name="_Toc201917859"/>
      <w:bookmarkStart w:id="496" w:name="_Toc201918098"/>
      <w:bookmarkStart w:id="497" w:name="_Toc201929467"/>
      <w:bookmarkStart w:id="498" w:name="_Toc201934631"/>
      <w:bookmarkStart w:id="499" w:name="_Toc201942131"/>
      <w:bookmarkStart w:id="500" w:name="_Toc202164624"/>
      <w:bookmarkStart w:id="501" w:name="_Toc202174402"/>
      <w:bookmarkStart w:id="502" w:name="_Toc202174403"/>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40508C">
        <w:rPr>
          <w:rFonts w:asciiTheme="minorHAnsi" w:hAnsiTheme="minorHAnsi" w:cstheme="minorHAnsi"/>
          <w:b/>
          <w:color w:val="auto"/>
          <w:sz w:val="36"/>
          <w:szCs w:val="36"/>
        </w:rPr>
        <w:t xml:space="preserve">Wydatki kwalifikowalne na </w:t>
      </w:r>
      <w:r w:rsidR="00F70627" w:rsidRPr="0040508C">
        <w:rPr>
          <w:rFonts w:asciiTheme="minorHAnsi" w:hAnsiTheme="minorHAnsi" w:cstheme="minorHAnsi"/>
          <w:b/>
          <w:color w:val="auto"/>
          <w:sz w:val="36"/>
          <w:szCs w:val="36"/>
        </w:rPr>
        <w:t>szkolenia</w:t>
      </w:r>
      <w:bookmarkEnd w:id="502"/>
    </w:p>
    <w:p w14:paraId="76897664" w14:textId="1C3E737A" w:rsidR="00746939" w:rsidRPr="0040508C" w:rsidRDefault="00746939" w:rsidP="003901B9">
      <w:pPr>
        <w:pStyle w:val="Nagwek3"/>
        <w:spacing w:before="240" w:line="276" w:lineRule="auto"/>
        <w:rPr>
          <w:rFonts w:asciiTheme="minorHAnsi" w:hAnsiTheme="minorHAnsi" w:cstheme="minorHAnsi"/>
          <w:color w:val="auto"/>
          <w:sz w:val="32"/>
        </w:rPr>
      </w:pPr>
      <w:bookmarkStart w:id="503" w:name="_Toc202174404"/>
      <w:r w:rsidRPr="0040508C">
        <w:rPr>
          <w:rFonts w:asciiTheme="minorHAnsi" w:hAnsiTheme="minorHAnsi" w:cstheme="minorHAnsi"/>
          <w:color w:val="auto"/>
          <w:sz w:val="32"/>
        </w:rPr>
        <w:t>6.1 Pomoc publiczna</w:t>
      </w:r>
      <w:bookmarkEnd w:id="503"/>
    </w:p>
    <w:p w14:paraId="128FD6DD" w14:textId="0DCAF9A0" w:rsidR="00746939" w:rsidRPr="0040508C" w:rsidRDefault="00746939" w:rsidP="00746939">
      <w:pPr>
        <w:spacing w:after="120" w:line="276" w:lineRule="auto"/>
        <w:rPr>
          <w:rFonts w:cstheme="minorHAnsi"/>
          <w:color w:val="000000" w:themeColor="text1"/>
          <w:sz w:val="24"/>
          <w:szCs w:val="24"/>
        </w:rPr>
      </w:pPr>
      <w:r w:rsidRPr="0040508C">
        <w:rPr>
          <w:rFonts w:cstheme="minorHAnsi"/>
          <w:color w:val="000000" w:themeColor="text1"/>
          <w:sz w:val="24"/>
          <w:szCs w:val="24"/>
        </w:rPr>
        <w:t xml:space="preserve">Wnioskodawca może uzyskać wsparcie w projekcie na podstawie </w:t>
      </w:r>
      <w:r w:rsidRPr="0040508C">
        <w:rPr>
          <w:rFonts w:cstheme="minorHAnsi"/>
          <w:b/>
          <w:bCs/>
          <w:color w:val="000000" w:themeColor="text1"/>
          <w:sz w:val="24"/>
          <w:szCs w:val="24"/>
        </w:rPr>
        <w:t>art. 31 rozporządzenia Komisji (UE) nr</w:t>
      </w:r>
      <w:r w:rsidRPr="0040508C">
        <w:rPr>
          <w:rFonts w:cstheme="minorHAnsi"/>
          <w:color w:val="000000" w:themeColor="text1"/>
          <w:sz w:val="24"/>
          <w:szCs w:val="24"/>
        </w:rPr>
        <w:t xml:space="preserve"> </w:t>
      </w:r>
      <w:r w:rsidRPr="0040508C">
        <w:rPr>
          <w:rFonts w:cstheme="minorHAnsi"/>
          <w:b/>
          <w:bCs/>
          <w:color w:val="000000" w:themeColor="text1"/>
          <w:sz w:val="24"/>
          <w:szCs w:val="24"/>
        </w:rPr>
        <w:t>651/2014</w:t>
      </w:r>
      <w:r w:rsidRPr="0040508C">
        <w:rPr>
          <w:rFonts w:cstheme="minorHAnsi"/>
          <w:color w:val="000000" w:themeColor="text1"/>
          <w:sz w:val="24"/>
          <w:szCs w:val="24"/>
        </w:rPr>
        <w:t xml:space="preserve">. </w:t>
      </w:r>
    </w:p>
    <w:p w14:paraId="3332A27E" w14:textId="264D2010" w:rsidR="00746939" w:rsidRPr="008A5236" w:rsidRDefault="00746939" w:rsidP="003901B9">
      <w:pPr>
        <w:pStyle w:val="Nagwek3"/>
        <w:spacing w:before="240" w:line="276" w:lineRule="auto"/>
        <w:rPr>
          <w:rFonts w:asciiTheme="minorHAnsi" w:hAnsiTheme="minorHAnsi" w:cstheme="minorHAnsi"/>
          <w:color w:val="auto"/>
          <w:sz w:val="32"/>
        </w:rPr>
      </w:pPr>
      <w:bookmarkStart w:id="504" w:name="_Toc202174405"/>
      <w:r w:rsidRPr="0040508C">
        <w:rPr>
          <w:rFonts w:asciiTheme="minorHAnsi" w:hAnsiTheme="minorHAnsi" w:cstheme="minorHAnsi"/>
          <w:color w:val="auto"/>
          <w:sz w:val="32"/>
        </w:rPr>
        <w:t>6.2 Limity wydatków kwalifikowalnych</w:t>
      </w:r>
      <w:r w:rsidRPr="008A5236">
        <w:rPr>
          <w:rFonts w:asciiTheme="minorHAnsi" w:hAnsiTheme="minorHAnsi" w:cstheme="minorHAnsi"/>
          <w:color w:val="auto"/>
          <w:sz w:val="32"/>
        </w:rPr>
        <w:t xml:space="preserve"> oraz limity dofinansowania</w:t>
      </w:r>
      <w:bookmarkEnd w:id="504"/>
    </w:p>
    <w:p w14:paraId="38909D2E" w14:textId="2DB8B29C" w:rsidR="00746939" w:rsidRPr="00F24C36" w:rsidRDefault="00746939" w:rsidP="00746939">
      <w:pPr>
        <w:spacing w:after="120" w:line="276" w:lineRule="auto"/>
        <w:rPr>
          <w:rFonts w:cstheme="minorHAnsi"/>
          <w:sz w:val="24"/>
          <w:szCs w:val="24"/>
        </w:rPr>
      </w:pPr>
      <w:r w:rsidRPr="00F24C36">
        <w:rPr>
          <w:rFonts w:cstheme="minorHAnsi"/>
          <w:b/>
          <w:bCs/>
          <w:sz w:val="24"/>
          <w:szCs w:val="24"/>
        </w:rPr>
        <w:t>Intensywność pomocy</w:t>
      </w:r>
      <w:r w:rsidRPr="00F24C36">
        <w:rPr>
          <w:rFonts w:cstheme="minorHAnsi"/>
          <w:sz w:val="24"/>
          <w:szCs w:val="24"/>
        </w:rPr>
        <w:t xml:space="preserve"> </w:t>
      </w:r>
      <w:r w:rsidR="00F47518">
        <w:rPr>
          <w:rFonts w:cstheme="minorHAnsi"/>
          <w:sz w:val="24"/>
          <w:szCs w:val="24"/>
        </w:rPr>
        <w:t>na szkolenia</w:t>
      </w:r>
      <w:r w:rsidRPr="00F24C36">
        <w:rPr>
          <w:rFonts w:cstheme="minorHAnsi"/>
          <w:sz w:val="24"/>
          <w:szCs w:val="24"/>
        </w:rPr>
        <w:t xml:space="preserve"> nie może przekroczyć 50%</w:t>
      </w:r>
      <w:r w:rsidR="00F47518">
        <w:rPr>
          <w:rFonts w:cstheme="minorHAnsi"/>
          <w:sz w:val="24"/>
          <w:szCs w:val="24"/>
        </w:rPr>
        <w:t xml:space="preserve"> kosztów kwalifikowalnych</w:t>
      </w:r>
      <w:r w:rsidRPr="00F24C36">
        <w:rPr>
          <w:rFonts w:cstheme="minorHAnsi"/>
          <w:sz w:val="24"/>
          <w:szCs w:val="24"/>
        </w:rPr>
        <w:t>.</w:t>
      </w:r>
    </w:p>
    <w:p w14:paraId="64B283AE" w14:textId="16F0E113" w:rsidR="007440DD" w:rsidRPr="00F24C36" w:rsidRDefault="007440DD" w:rsidP="00151815">
      <w:pPr>
        <w:spacing w:after="120" w:line="276" w:lineRule="auto"/>
        <w:rPr>
          <w:rFonts w:cstheme="minorHAnsi"/>
          <w:sz w:val="24"/>
          <w:szCs w:val="24"/>
        </w:rPr>
      </w:pPr>
      <w:r w:rsidRPr="00F24C36">
        <w:rPr>
          <w:rFonts w:cstheme="minorHAnsi"/>
          <w:sz w:val="24"/>
          <w:szCs w:val="24"/>
        </w:rPr>
        <w:t xml:space="preserve">Intensywność </w:t>
      </w:r>
      <w:r w:rsidR="006D5714">
        <w:rPr>
          <w:rFonts w:cstheme="minorHAnsi"/>
          <w:sz w:val="24"/>
          <w:szCs w:val="24"/>
        </w:rPr>
        <w:t xml:space="preserve">ta </w:t>
      </w:r>
      <w:r w:rsidRPr="00F24C36">
        <w:rPr>
          <w:rFonts w:cstheme="minorHAnsi"/>
          <w:sz w:val="24"/>
          <w:szCs w:val="24"/>
        </w:rPr>
        <w:t>może zostać zwiększona:</w:t>
      </w:r>
    </w:p>
    <w:p w14:paraId="2F729B0E" w14:textId="77777777" w:rsidR="007440DD" w:rsidRPr="00F24C36" w:rsidRDefault="007440DD" w:rsidP="00941ED8">
      <w:pPr>
        <w:pStyle w:val="Akapitzlist"/>
        <w:numPr>
          <w:ilvl w:val="0"/>
          <w:numId w:val="21"/>
        </w:numPr>
        <w:spacing w:after="120" w:line="276" w:lineRule="auto"/>
        <w:ind w:left="714" w:hanging="357"/>
        <w:rPr>
          <w:rFonts w:cstheme="minorHAnsi"/>
          <w:sz w:val="24"/>
          <w:szCs w:val="24"/>
        </w:rPr>
      </w:pPr>
      <w:r w:rsidRPr="00F24C36">
        <w:rPr>
          <w:rFonts w:cstheme="minorHAnsi"/>
          <w:sz w:val="24"/>
          <w:szCs w:val="24"/>
        </w:rPr>
        <w:t xml:space="preserve">o </w:t>
      </w:r>
      <w:r w:rsidRPr="00F24C36">
        <w:rPr>
          <w:rFonts w:cstheme="minorHAnsi"/>
          <w:b/>
          <w:bCs/>
          <w:sz w:val="24"/>
          <w:szCs w:val="24"/>
        </w:rPr>
        <w:t>10</w:t>
      </w:r>
      <w:r w:rsidRPr="00753895">
        <w:rPr>
          <w:rFonts w:ascii="Noto Serif" w:hAnsi="Noto Serif" w:cs="Noto Serif"/>
          <w:color w:val="333333"/>
          <w:sz w:val="24"/>
          <w:szCs w:val="24"/>
          <w:shd w:val="clear" w:color="auto" w:fill="FFFFFF"/>
        </w:rPr>
        <w:t xml:space="preserve"> </w:t>
      </w:r>
      <w:r w:rsidRPr="00F24C36">
        <w:rPr>
          <w:rFonts w:cstheme="minorHAnsi"/>
          <w:b/>
          <w:bCs/>
          <w:sz w:val="24"/>
          <w:szCs w:val="24"/>
        </w:rPr>
        <w:t xml:space="preserve">punktów procentowych </w:t>
      </w:r>
      <w:r w:rsidRPr="00F24C36">
        <w:rPr>
          <w:rFonts w:cstheme="minorHAnsi"/>
          <w:sz w:val="24"/>
          <w:szCs w:val="24"/>
        </w:rPr>
        <w:t>dla średnich przedsiębiorców;</w:t>
      </w:r>
    </w:p>
    <w:p w14:paraId="0E71ECAA" w14:textId="235E8C81" w:rsidR="007440DD" w:rsidRPr="00F24C36" w:rsidRDefault="007440DD" w:rsidP="00941ED8">
      <w:pPr>
        <w:pStyle w:val="Akapitzlist"/>
        <w:numPr>
          <w:ilvl w:val="0"/>
          <w:numId w:val="21"/>
        </w:numPr>
        <w:spacing w:after="120" w:line="276" w:lineRule="auto"/>
        <w:ind w:left="714" w:hanging="357"/>
        <w:rPr>
          <w:rFonts w:cstheme="minorHAnsi"/>
          <w:sz w:val="24"/>
          <w:szCs w:val="24"/>
        </w:rPr>
      </w:pPr>
      <w:r w:rsidRPr="00F24C36">
        <w:rPr>
          <w:rFonts w:cstheme="minorHAnsi"/>
          <w:sz w:val="24"/>
          <w:szCs w:val="24"/>
        </w:rPr>
        <w:t xml:space="preserve">o </w:t>
      </w:r>
      <w:r w:rsidRPr="00F24C36">
        <w:rPr>
          <w:rFonts w:cstheme="minorHAnsi"/>
          <w:b/>
          <w:bCs/>
          <w:sz w:val="24"/>
          <w:szCs w:val="24"/>
        </w:rPr>
        <w:t>20 punktów procentowych</w:t>
      </w:r>
      <w:r w:rsidRPr="00F24C36">
        <w:rPr>
          <w:rFonts w:cstheme="minorHAnsi"/>
          <w:sz w:val="24"/>
          <w:szCs w:val="24"/>
        </w:rPr>
        <w:t xml:space="preserve"> dla mikro- i małych przedsiębiorców.</w:t>
      </w:r>
    </w:p>
    <w:p w14:paraId="1EEACCA6" w14:textId="681FEEEE" w:rsidR="00746939" w:rsidRDefault="00746939" w:rsidP="003901B9">
      <w:pPr>
        <w:pStyle w:val="Nagwek3"/>
        <w:numPr>
          <w:ilvl w:val="1"/>
          <w:numId w:val="26"/>
        </w:numPr>
        <w:spacing w:before="240" w:line="276" w:lineRule="auto"/>
        <w:ind w:left="403" w:hanging="403"/>
        <w:rPr>
          <w:rFonts w:asciiTheme="minorHAnsi" w:hAnsiTheme="minorHAnsi" w:cstheme="minorHAnsi"/>
          <w:color w:val="auto"/>
          <w:sz w:val="32"/>
        </w:rPr>
      </w:pPr>
      <w:bookmarkStart w:id="505" w:name="_Toc200109656"/>
      <w:bookmarkStart w:id="506" w:name="_Toc200347563"/>
      <w:bookmarkStart w:id="507" w:name="_Toc201898927"/>
      <w:bookmarkStart w:id="508" w:name="_Toc201910189"/>
      <w:bookmarkStart w:id="509" w:name="_Toc201913114"/>
      <w:bookmarkStart w:id="510" w:name="_Toc201914278"/>
      <w:bookmarkStart w:id="511" w:name="_Toc201917863"/>
      <w:bookmarkStart w:id="512" w:name="_Toc201918102"/>
      <w:bookmarkStart w:id="513" w:name="_Toc201929471"/>
      <w:bookmarkStart w:id="514" w:name="_Toc201934635"/>
      <w:bookmarkStart w:id="515" w:name="_Toc201942135"/>
      <w:bookmarkStart w:id="516" w:name="_Toc202164628"/>
      <w:bookmarkStart w:id="517" w:name="_Toc202174406"/>
      <w:bookmarkStart w:id="518" w:name="_Toc200109657"/>
      <w:bookmarkStart w:id="519" w:name="_Toc200347564"/>
      <w:bookmarkStart w:id="520" w:name="_Toc201898928"/>
      <w:bookmarkStart w:id="521" w:name="_Toc201910190"/>
      <w:bookmarkStart w:id="522" w:name="_Toc201913115"/>
      <w:bookmarkStart w:id="523" w:name="_Toc201914279"/>
      <w:bookmarkStart w:id="524" w:name="_Toc201917864"/>
      <w:bookmarkStart w:id="525" w:name="_Toc201918103"/>
      <w:bookmarkStart w:id="526" w:name="_Toc201929472"/>
      <w:bookmarkStart w:id="527" w:name="_Toc201934636"/>
      <w:bookmarkStart w:id="528" w:name="_Toc201942136"/>
      <w:bookmarkStart w:id="529" w:name="_Toc202164629"/>
      <w:bookmarkStart w:id="530" w:name="_Toc202174407"/>
      <w:bookmarkStart w:id="531" w:name="_Toc202174409"/>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r w:rsidRPr="008A5236">
        <w:rPr>
          <w:rFonts w:asciiTheme="minorHAnsi" w:hAnsiTheme="minorHAnsi" w:cstheme="minorHAnsi"/>
          <w:color w:val="auto"/>
          <w:sz w:val="32"/>
        </w:rPr>
        <w:lastRenderedPageBreak/>
        <w:t>Kategorie wydatków kwalifikowalnych</w:t>
      </w:r>
      <w:bookmarkEnd w:id="531"/>
    </w:p>
    <w:p w14:paraId="2A5C89C8" w14:textId="1968E09A" w:rsidR="00B139DF" w:rsidRPr="00753895" w:rsidRDefault="00B139DF" w:rsidP="003901B9">
      <w:pPr>
        <w:pStyle w:val="Nagwek4"/>
        <w:tabs>
          <w:tab w:val="left" w:pos="851"/>
        </w:tabs>
        <w:spacing w:before="120" w:line="276" w:lineRule="auto"/>
        <w:rPr>
          <w:rFonts w:asciiTheme="minorHAnsi" w:hAnsiTheme="minorHAnsi" w:cstheme="minorHAnsi"/>
          <w:color w:val="auto"/>
          <w:sz w:val="28"/>
          <w:szCs w:val="28"/>
        </w:rPr>
      </w:pPr>
      <w:bookmarkStart w:id="532" w:name="_Toc193725954"/>
      <w:bookmarkStart w:id="533" w:name="_Toc202174410"/>
      <w:r>
        <w:rPr>
          <w:rFonts w:asciiTheme="minorHAnsi" w:hAnsiTheme="minorHAnsi" w:cstheme="minorHAnsi"/>
          <w:i w:val="0"/>
          <w:color w:val="auto"/>
          <w:sz w:val="28"/>
          <w:szCs w:val="28"/>
        </w:rPr>
        <w:t xml:space="preserve">6.3.1 Koszty wsparcia uczestników projektu (Koszty szkoleniowe </w:t>
      </w:r>
      <w:r w:rsidR="003B68BC">
        <w:rPr>
          <w:rFonts w:asciiTheme="minorHAnsi" w:hAnsiTheme="minorHAnsi" w:cstheme="minorHAnsi"/>
          <w:i w:val="0"/>
          <w:color w:val="auto"/>
          <w:sz w:val="28"/>
          <w:szCs w:val="28"/>
        </w:rPr>
        <w:t>rzeczywiste</w:t>
      </w:r>
      <w:r>
        <w:rPr>
          <w:rFonts w:asciiTheme="minorHAnsi" w:hAnsiTheme="minorHAnsi" w:cstheme="minorHAnsi"/>
          <w:i w:val="0"/>
          <w:color w:val="auto"/>
          <w:sz w:val="28"/>
          <w:szCs w:val="28"/>
        </w:rPr>
        <w:t>)</w:t>
      </w:r>
      <w:bookmarkEnd w:id="532"/>
      <w:bookmarkEnd w:id="533"/>
    </w:p>
    <w:p w14:paraId="3725D682" w14:textId="49E39BB8" w:rsidR="00F70627" w:rsidRPr="00762814" w:rsidRDefault="00F70627" w:rsidP="00151815">
      <w:pPr>
        <w:pStyle w:val="Akapitzlist"/>
        <w:spacing w:after="120" w:line="276" w:lineRule="auto"/>
        <w:ind w:left="0"/>
        <w:rPr>
          <w:rFonts w:cstheme="minorHAnsi"/>
          <w:sz w:val="24"/>
          <w:szCs w:val="24"/>
        </w:rPr>
      </w:pPr>
      <w:r w:rsidRPr="00762814">
        <w:rPr>
          <w:rFonts w:cstheme="minorHAnsi"/>
          <w:sz w:val="24"/>
          <w:szCs w:val="24"/>
        </w:rPr>
        <w:t xml:space="preserve">W ramach tej kategorii kwalifikowalne są </w:t>
      </w:r>
      <w:r w:rsidRPr="00762814">
        <w:rPr>
          <w:rFonts w:cstheme="minorHAnsi"/>
          <w:b/>
          <w:bCs/>
          <w:sz w:val="24"/>
          <w:szCs w:val="24"/>
        </w:rPr>
        <w:t xml:space="preserve">koszty bezpośrednio związane z usługami szkoleniowymi świadczonymi na terenie Rzeczypospolitej Polskiej </w:t>
      </w:r>
      <w:r w:rsidR="00923A55">
        <w:rPr>
          <w:rFonts w:cstheme="minorHAnsi"/>
          <w:b/>
          <w:bCs/>
          <w:sz w:val="24"/>
          <w:szCs w:val="24"/>
        </w:rPr>
        <w:t xml:space="preserve">oraz </w:t>
      </w:r>
      <w:r w:rsidR="00923A55" w:rsidRPr="00A5674D">
        <w:rPr>
          <w:rFonts w:cstheme="minorHAnsi"/>
          <w:b/>
          <w:bCs/>
          <w:sz w:val="24"/>
          <w:szCs w:val="24"/>
        </w:rPr>
        <w:t>koszty szkoleń realizowanych poza Rzeczpospolitą Polską</w:t>
      </w:r>
      <w:r w:rsidR="00956759">
        <w:rPr>
          <w:rStyle w:val="Odwoanieprzypisudolnego"/>
          <w:rFonts w:cstheme="minorHAnsi"/>
          <w:b/>
          <w:bCs/>
          <w:sz w:val="24"/>
          <w:szCs w:val="24"/>
        </w:rPr>
        <w:footnoteReference w:id="8"/>
      </w:r>
      <w:r w:rsidR="00923A55" w:rsidRPr="00762814">
        <w:rPr>
          <w:rFonts w:cstheme="minorHAnsi"/>
          <w:b/>
          <w:bCs/>
          <w:sz w:val="24"/>
          <w:szCs w:val="24"/>
        </w:rPr>
        <w:t xml:space="preserve"> </w:t>
      </w:r>
      <w:r w:rsidRPr="00762814">
        <w:rPr>
          <w:rFonts w:cstheme="minorHAnsi"/>
          <w:b/>
          <w:bCs/>
          <w:sz w:val="24"/>
          <w:szCs w:val="24"/>
        </w:rPr>
        <w:t xml:space="preserve">rozliczane na podstawie </w:t>
      </w:r>
      <w:r w:rsidR="00942736">
        <w:rPr>
          <w:rFonts w:cstheme="minorHAnsi"/>
          <w:b/>
          <w:bCs/>
          <w:sz w:val="24"/>
          <w:szCs w:val="24"/>
        </w:rPr>
        <w:t>kosztów rzeczywistych</w:t>
      </w:r>
      <w:r w:rsidRPr="00762814">
        <w:rPr>
          <w:rFonts w:cstheme="minorHAnsi"/>
          <w:b/>
          <w:bCs/>
          <w:sz w:val="24"/>
          <w:szCs w:val="24"/>
        </w:rPr>
        <w:t xml:space="preserve">, </w:t>
      </w:r>
      <w:r w:rsidR="00923A55" w:rsidRPr="00A5674D">
        <w:rPr>
          <w:rFonts w:cstheme="minorHAnsi"/>
          <w:bCs/>
          <w:sz w:val="24"/>
          <w:szCs w:val="24"/>
        </w:rPr>
        <w:t xml:space="preserve">zgodnie z </w:t>
      </w:r>
      <w:r w:rsidR="00956759">
        <w:rPr>
          <w:rFonts w:cstheme="minorHAnsi"/>
          <w:bCs/>
          <w:sz w:val="24"/>
          <w:szCs w:val="24"/>
        </w:rPr>
        <w:t xml:space="preserve">następującymi </w:t>
      </w:r>
      <w:r w:rsidR="00923A55" w:rsidRPr="00A5674D">
        <w:rPr>
          <w:rFonts w:cstheme="minorHAnsi"/>
          <w:bCs/>
          <w:sz w:val="24"/>
          <w:szCs w:val="24"/>
        </w:rPr>
        <w:t>kategoriami kosztów</w:t>
      </w:r>
      <w:r w:rsidR="00956759">
        <w:rPr>
          <w:rFonts w:cstheme="minorHAnsi"/>
          <w:bCs/>
          <w:sz w:val="24"/>
          <w:szCs w:val="24"/>
        </w:rPr>
        <w:t>:</w:t>
      </w:r>
      <w:r w:rsidR="00956759" w:rsidRPr="00762814" w:rsidDel="00923A55">
        <w:rPr>
          <w:rFonts w:cstheme="minorHAnsi"/>
          <w:b/>
          <w:bCs/>
          <w:sz w:val="24"/>
          <w:szCs w:val="24"/>
        </w:rPr>
        <w:t xml:space="preserve"> </w:t>
      </w:r>
    </w:p>
    <w:p w14:paraId="41A30009" w14:textId="0845B046" w:rsidR="00F70627" w:rsidRPr="00A60D6C" w:rsidRDefault="00F70627" w:rsidP="00941ED8">
      <w:pPr>
        <w:pStyle w:val="Akapitzlist"/>
        <w:numPr>
          <w:ilvl w:val="1"/>
          <w:numId w:val="5"/>
        </w:numPr>
        <w:spacing w:after="120" w:line="276" w:lineRule="auto"/>
        <w:rPr>
          <w:rFonts w:cstheme="minorHAnsi"/>
          <w:bCs/>
          <w:sz w:val="24"/>
          <w:szCs w:val="24"/>
        </w:rPr>
      </w:pPr>
      <w:r w:rsidRPr="00A60D6C">
        <w:rPr>
          <w:rFonts w:cstheme="minorHAnsi"/>
          <w:bCs/>
          <w:sz w:val="24"/>
          <w:szCs w:val="24"/>
        </w:rPr>
        <w:t xml:space="preserve">wynagrodzenia wykładowców (za czas przeprowadzenia szkolenia oraz ewentualnych konsultacji po szkoleniu, o ile są one wliczone w czas przeprowadzenia szkolenia), koszty operacyjne wykładowców takie jak koszty podróży, koszty zakwaterowania, koszty amortyzacji narzędzi i wyposażenia </w:t>
      </w:r>
      <w:r w:rsidRPr="00A60D6C">
        <w:rPr>
          <w:rFonts w:cstheme="minorHAnsi"/>
          <w:bCs/>
          <w:sz w:val="24"/>
          <w:szCs w:val="24"/>
        </w:rPr>
        <w:br/>
        <w:t>w zakresie, w jakim są wykorzystywane podczas szkolenia;</w:t>
      </w:r>
    </w:p>
    <w:p w14:paraId="254525B3" w14:textId="27EFB899" w:rsidR="00F70627" w:rsidRPr="00A60D6C" w:rsidRDefault="00F70627" w:rsidP="00941ED8">
      <w:pPr>
        <w:pStyle w:val="Akapitzlist"/>
        <w:numPr>
          <w:ilvl w:val="1"/>
          <w:numId w:val="5"/>
        </w:numPr>
        <w:spacing w:after="120" w:line="276" w:lineRule="auto"/>
        <w:rPr>
          <w:rFonts w:cstheme="minorHAnsi"/>
          <w:bCs/>
          <w:sz w:val="24"/>
          <w:szCs w:val="24"/>
        </w:rPr>
      </w:pPr>
      <w:r w:rsidRPr="00A60D6C">
        <w:rPr>
          <w:rFonts w:cstheme="minorHAnsi"/>
          <w:bCs/>
          <w:sz w:val="24"/>
          <w:szCs w:val="24"/>
        </w:rPr>
        <w:t xml:space="preserve">koszty wynajmu </w:t>
      </w:r>
      <w:proofErr w:type="spellStart"/>
      <w:r w:rsidRPr="00A60D6C">
        <w:rPr>
          <w:rFonts w:cstheme="minorHAnsi"/>
          <w:bCs/>
          <w:sz w:val="24"/>
          <w:szCs w:val="24"/>
        </w:rPr>
        <w:t>sal</w:t>
      </w:r>
      <w:proofErr w:type="spellEnd"/>
      <w:r w:rsidRPr="00A60D6C">
        <w:rPr>
          <w:rFonts w:cstheme="minorHAnsi"/>
          <w:bCs/>
          <w:sz w:val="24"/>
          <w:szCs w:val="24"/>
        </w:rPr>
        <w:t xml:space="preserve"> szkoleniowych z adekwatnymi narzędziami i wyposażeniem </w:t>
      </w:r>
      <w:r w:rsidRPr="00A60D6C">
        <w:rPr>
          <w:rFonts w:cstheme="minorHAnsi"/>
          <w:bCs/>
          <w:sz w:val="24"/>
          <w:szCs w:val="24"/>
        </w:rPr>
        <w:br/>
        <w:t>w jakim są wykorzystywane podczas szkolenia;</w:t>
      </w:r>
    </w:p>
    <w:p w14:paraId="68C401FE" w14:textId="62711E07" w:rsidR="00F70627" w:rsidRPr="003B64C6" w:rsidRDefault="00F70627" w:rsidP="00941ED8">
      <w:pPr>
        <w:pStyle w:val="Akapitzlist"/>
        <w:numPr>
          <w:ilvl w:val="1"/>
          <w:numId w:val="5"/>
        </w:numPr>
        <w:spacing w:after="120" w:line="276" w:lineRule="auto"/>
        <w:rPr>
          <w:rFonts w:cstheme="minorHAnsi"/>
          <w:bCs/>
          <w:sz w:val="24"/>
          <w:szCs w:val="24"/>
        </w:rPr>
      </w:pPr>
      <w:r w:rsidRPr="003B64C6">
        <w:rPr>
          <w:rFonts w:cstheme="minorHAnsi"/>
          <w:bCs/>
          <w:sz w:val="24"/>
          <w:szCs w:val="24"/>
        </w:rPr>
        <w:t xml:space="preserve">koszty materiałów szkoleniowych, w tym koszty tłumaczeń związanych ze szkoleniem; </w:t>
      </w:r>
    </w:p>
    <w:p w14:paraId="428D4F6E" w14:textId="3BD9B8D6" w:rsidR="00F70627" w:rsidRPr="003B64C6" w:rsidRDefault="00F70627" w:rsidP="00941ED8">
      <w:pPr>
        <w:pStyle w:val="Akapitzlist"/>
        <w:numPr>
          <w:ilvl w:val="1"/>
          <w:numId w:val="5"/>
        </w:numPr>
        <w:spacing w:after="120" w:line="276" w:lineRule="auto"/>
        <w:rPr>
          <w:rFonts w:cstheme="minorHAnsi"/>
          <w:bCs/>
          <w:sz w:val="24"/>
          <w:szCs w:val="24"/>
        </w:rPr>
      </w:pPr>
      <w:r w:rsidRPr="003B64C6">
        <w:rPr>
          <w:rFonts w:cstheme="minorHAnsi"/>
          <w:bCs/>
          <w:sz w:val="24"/>
          <w:szCs w:val="24"/>
        </w:rPr>
        <w:t>koszty administracyjne związane z organizacją i obsługą szkolenia, w tym przerwy kawowe i lunche / posiłki serwowane w czasie szkolenia</w:t>
      </w:r>
      <w:r w:rsidR="00B04458" w:rsidRPr="003B64C6">
        <w:rPr>
          <w:rFonts w:cstheme="minorHAnsi"/>
          <w:bCs/>
          <w:sz w:val="24"/>
          <w:szCs w:val="24"/>
        </w:rPr>
        <w:t>;</w:t>
      </w:r>
    </w:p>
    <w:p w14:paraId="3F1B1EF5" w14:textId="77777777" w:rsidR="00B04458" w:rsidRPr="00A60D6C" w:rsidRDefault="00B04458" w:rsidP="00B04458">
      <w:pPr>
        <w:pStyle w:val="Akapitzlist"/>
        <w:numPr>
          <w:ilvl w:val="1"/>
          <w:numId w:val="5"/>
        </w:numPr>
        <w:tabs>
          <w:tab w:val="left" w:pos="851"/>
        </w:tabs>
        <w:spacing w:after="0" w:line="276" w:lineRule="auto"/>
        <w:contextualSpacing w:val="0"/>
        <w:rPr>
          <w:rFonts w:cstheme="minorHAnsi"/>
          <w:bCs/>
          <w:sz w:val="24"/>
          <w:szCs w:val="24"/>
        </w:rPr>
      </w:pPr>
      <w:r w:rsidRPr="00A60D6C">
        <w:rPr>
          <w:rFonts w:cstheme="minorHAnsi"/>
          <w:bCs/>
          <w:sz w:val="24"/>
          <w:szCs w:val="24"/>
        </w:rPr>
        <w:t>koszty uczestników szkolenia bezpośrednio związane ze szkoleniem, tj. koszty podróży i zakwaterowania,</w:t>
      </w:r>
    </w:p>
    <w:p w14:paraId="4EE36DEB" w14:textId="491E7810" w:rsidR="00B04458" w:rsidRPr="00151815" w:rsidRDefault="00B04458" w:rsidP="00151815">
      <w:pPr>
        <w:pStyle w:val="Akapitzlist"/>
        <w:numPr>
          <w:ilvl w:val="1"/>
          <w:numId w:val="5"/>
        </w:numPr>
        <w:tabs>
          <w:tab w:val="left" w:pos="851"/>
        </w:tabs>
        <w:spacing w:after="120" w:line="276" w:lineRule="auto"/>
        <w:contextualSpacing w:val="0"/>
        <w:rPr>
          <w:rFonts w:cstheme="minorHAnsi"/>
          <w:bCs/>
          <w:sz w:val="24"/>
          <w:szCs w:val="24"/>
        </w:rPr>
      </w:pPr>
      <w:r w:rsidRPr="00A60D6C">
        <w:rPr>
          <w:rFonts w:cstheme="minorHAnsi"/>
          <w:bCs/>
          <w:sz w:val="24"/>
          <w:szCs w:val="24"/>
        </w:rPr>
        <w:t xml:space="preserve">koszty usług doradczych związanych ze szkoleniem. </w:t>
      </w:r>
    </w:p>
    <w:p w14:paraId="7104E450" w14:textId="0FF36A40" w:rsidR="003B68BC" w:rsidRPr="00A60D6C" w:rsidRDefault="003B68BC" w:rsidP="00FA13C2">
      <w:pPr>
        <w:spacing w:after="120" w:line="276" w:lineRule="auto"/>
        <w:rPr>
          <w:rFonts w:cstheme="minorHAnsi"/>
          <w:bCs/>
          <w:sz w:val="24"/>
          <w:szCs w:val="24"/>
        </w:rPr>
      </w:pPr>
      <w:r w:rsidRPr="00151815">
        <w:rPr>
          <w:bCs/>
        </w:rPr>
        <w:t xml:space="preserve">Koszty wsparcia uczestników projektu </w:t>
      </w:r>
      <w:r w:rsidRPr="00151815">
        <w:rPr>
          <w:rFonts w:cstheme="minorHAnsi"/>
          <w:bCs/>
          <w:sz w:val="24"/>
          <w:szCs w:val="24"/>
        </w:rPr>
        <w:t xml:space="preserve">będą uznane za kwalifikowalne pod warunkiem, że osoba, która jest zgłaszana na szkolenie, na dzień rozpoczęcia szkolenia ma m.in. zawartą umowę o pracę, powołanie, wybór, mianowanie lub spółdzielczą umowę o pracę lub umowę cywilnoprawną lub jest zatrudniona na innej podstawie. </w:t>
      </w:r>
    </w:p>
    <w:p w14:paraId="17F0291A" w14:textId="5F971D9A" w:rsidR="00F63F4F" w:rsidRPr="00A60D6C" w:rsidRDefault="00F63F4F" w:rsidP="00F63F4F">
      <w:pPr>
        <w:pStyle w:val="pf0"/>
        <w:rPr>
          <w:rFonts w:asciiTheme="minorHAnsi" w:eastAsiaTheme="minorHAnsi" w:hAnsiTheme="minorHAnsi" w:cstheme="minorHAnsi"/>
          <w:bCs/>
          <w:lang w:eastAsia="en-US"/>
        </w:rPr>
      </w:pPr>
      <w:r w:rsidRPr="00151815">
        <w:rPr>
          <w:rFonts w:asciiTheme="minorHAnsi" w:eastAsiaTheme="minorHAnsi" w:hAnsiTheme="minorHAnsi" w:cstheme="minorHAnsi"/>
          <w:bCs/>
          <w:lang w:eastAsia="en-US"/>
        </w:rPr>
        <w:t xml:space="preserve">Usługi szkoleniowe mogą być świadczone tylko przez wykonawców zewnętrznych, tj. osoby fizyczne niezatrudnione u beneficjenta, osoby prawne lub jednostki organizacyjne nieposiadające osobowości prawnej, które oferują usługi szkoleniowe. </w:t>
      </w:r>
    </w:p>
    <w:p w14:paraId="530699D4" w14:textId="07AA81C2" w:rsidR="003B6DC3" w:rsidRPr="00A0141E" w:rsidRDefault="003B6DC3" w:rsidP="003B6DC3">
      <w:pPr>
        <w:spacing w:after="120" w:line="276" w:lineRule="auto"/>
        <w:rPr>
          <w:rFonts w:cstheme="minorHAnsi"/>
          <w:sz w:val="24"/>
          <w:szCs w:val="24"/>
        </w:rPr>
      </w:pPr>
      <w:r w:rsidRPr="00A0141E">
        <w:rPr>
          <w:rFonts w:cstheme="minorHAnsi"/>
          <w:sz w:val="24"/>
          <w:szCs w:val="24"/>
        </w:rPr>
        <w:t xml:space="preserve">W </w:t>
      </w:r>
      <w:r>
        <w:rPr>
          <w:rFonts w:cstheme="minorHAnsi"/>
          <w:sz w:val="24"/>
          <w:szCs w:val="24"/>
        </w:rPr>
        <w:t>projekcie</w:t>
      </w:r>
      <w:r w:rsidRPr="00A0141E">
        <w:rPr>
          <w:rFonts w:cstheme="minorHAnsi"/>
          <w:sz w:val="24"/>
          <w:szCs w:val="24"/>
        </w:rPr>
        <w:t xml:space="preserve"> nie mogą być kwalifikowalne:</w:t>
      </w:r>
    </w:p>
    <w:p w14:paraId="3F483FC5" w14:textId="77777777" w:rsidR="003B6DC3" w:rsidRPr="00D94A7E" w:rsidRDefault="003B6DC3" w:rsidP="003B6DC3">
      <w:pPr>
        <w:pStyle w:val="Tekstkomentarza"/>
        <w:numPr>
          <w:ilvl w:val="0"/>
          <w:numId w:val="23"/>
        </w:numPr>
        <w:spacing w:line="276" w:lineRule="auto"/>
        <w:ind w:left="357" w:hanging="357"/>
        <w:rPr>
          <w:sz w:val="24"/>
          <w:szCs w:val="24"/>
        </w:rPr>
      </w:pPr>
      <w:r w:rsidRPr="00D94A7E">
        <w:rPr>
          <w:sz w:val="24"/>
          <w:szCs w:val="24"/>
        </w:rPr>
        <w:t xml:space="preserve">wydatki związane ze szkoleniami prowadzonymi w celu przestrzegania obowiązkowych przepisów krajowych w zakresie szkoleń (w rozumieniu art. 31 ust. 2 rozporządzenia Komisji (UE) nr 651/2014), w szczególności usługi szkoleniowe, których obowiązek przeprowadzenia na zajmowanym stanowisku pracy wynika z odrębnych przepisów </w:t>
      </w:r>
      <w:r w:rsidRPr="00D94A7E">
        <w:rPr>
          <w:sz w:val="24"/>
          <w:szCs w:val="24"/>
        </w:rPr>
        <w:lastRenderedPageBreak/>
        <w:t>prawa (np. wstępne i okresowe szkolenia z zakresu bezpieczeństwa i higieny pracy, szkolenia okresowe potwierdzające kwalifikacje na zajmowanym stanowisku pracy);</w:t>
      </w:r>
    </w:p>
    <w:p w14:paraId="51C335AB" w14:textId="77777777" w:rsidR="003B6DC3" w:rsidRPr="00D94A7E" w:rsidRDefault="003B6DC3" w:rsidP="003B6DC3">
      <w:pPr>
        <w:pStyle w:val="Tekstkomentarza"/>
        <w:numPr>
          <w:ilvl w:val="0"/>
          <w:numId w:val="23"/>
        </w:numPr>
        <w:spacing w:line="276" w:lineRule="auto"/>
        <w:ind w:left="357" w:hanging="357"/>
        <w:rPr>
          <w:sz w:val="24"/>
          <w:szCs w:val="24"/>
        </w:rPr>
      </w:pPr>
      <w:r w:rsidRPr="00D94A7E">
        <w:rPr>
          <w:sz w:val="24"/>
          <w:szCs w:val="24"/>
        </w:rPr>
        <w:t>wydatki związane ze:</w:t>
      </w:r>
    </w:p>
    <w:p w14:paraId="48EEB770" w14:textId="77777777" w:rsidR="003B6DC3" w:rsidRPr="00D94A7E" w:rsidRDefault="003B6DC3" w:rsidP="003B6DC3">
      <w:pPr>
        <w:pStyle w:val="Tekstkomentarza"/>
        <w:numPr>
          <w:ilvl w:val="1"/>
          <w:numId w:val="24"/>
        </w:numPr>
        <w:spacing w:line="276" w:lineRule="auto"/>
        <w:ind w:left="714" w:hanging="357"/>
        <w:rPr>
          <w:sz w:val="24"/>
          <w:szCs w:val="24"/>
        </w:rPr>
      </w:pPr>
      <w:r w:rsidRPr="00D94A7E">
        <w:rPr>
          <w:sz w:val="24"/>
          <w:szCs w:val="24"/>
        </w:rPr>
        <w:t>szkoleniami i egzaminami niezbędnymi w bieżącej działalności przedsiębiorstwa, niemające bezpośredniego związku z realizowanym projektem np. szkolenia prawne, informatyczne, językowe, zawodowe;</w:t>
      </w:r>
    </w:p>
    <w:p w14:paraId="0900271F" w14:textId="77777777" w:rsidR="003B6DC3" w:rsidRPr="00D94A7E" w:rsidRDefault="003B6DC3" w:rsidP="003B6DC3">
      <w:pPr>
        <w:pStyle w:val="Tekstkomentarza"/>
        <w:numPr>
          <w:ilvl w:val="1"/>
          <w:numId w:val="24"/>
        </w:numPr>
        <w:spacing w:line="276" w:lineRule="auto"/>
        <w:ind w:left="714" w:hanging="357"/>
        <w:rPr>
          <w:sz w:val="24"/>
          <w:szCs w:val="24"/>
        </w:rPr>
      </w:pPr>
      <w:r w:rsidRPr="00D94A7E">
        <w:rPr>
          <w:sz w:val="24"/>
          <w:szCs w:val="24"/>
        </w:rPr>
        <w:t>udziałem w studiach podyplomowych, konferencjach;</w:t>
      </w:r>
    </w:p>
    <w:p w14:paraId="65E98529" w14:textId="360E6BC9" w:rsidR="003B6DC3" w:rsidRPr="00D94A7E" w:rsidRDefault="003B6DC3" w:rsidP="003B6DC3">
      <w:pPr>
        <w:pStyle w:val="Tekstkomentarza"/>
        <w:numPr>
          <w:ilvl w:val="1"/>
          <w:numId w:val="24"/>
        </w:numPr>
        <w:spacing w:line="276" w:lineRule="auto"/>
        <w:ind w:left="714" w:hanging="357"/>
        <w:rPr>
          <w:rFonts w:cstheme="minorHAnsi"/>
          <w:sz w:val="24"/>
          <w:szCs w:val="24"/>
        </w:rPr>
      </w:pPr>
      <w:r w:rsidRPr="00D94A7E">
        <w:rPr>
          <w:sz w:val="24"/>
          <w:szCs w:val="24"/>
        </w:rPr>
        <w:t>usługami doradczymi i szkoleniowymi, których celem jest rozwój kompetencji managerskich.</w:t>
      </w:r>
    </w:p>
    <w:p w14:paraId="21556B98" w14:textId="258D5046" w:rsidR="003B68BC" w:rsidRPr="000932F6" w:rsidRDefault="000932F6" w:rsidP="00151815">
      <w:pPr>
        <w:pStyle w:val="pf0"/>
        <w:rPr>
          <w:rFonts w:cstheme="minorHAnsi"/>
          <w:bCs/>
        </w:rPr>
      </w:pPr>
      <w:r w:rsidRPr="00461F14">
        <w:rPr>
          <w:rFonts w:asciiTheme="minorHAnsi" w:eastAsiaTheme="minorHAnsi" w:hAnsiTheme="minorHAnsi" w:cstheme="minorHAnsi"/>
          <w:bCs/>
        </w:rPr>
        <w:t>Wydatki na szkolenia nie obejmują szkoleń wewnętrznych, prowadzonych przez pracowników beneficjenta, zatrudnionych na podstawie jakiejkolwiek formy zatrudnienia (bez względu na to czy stanowią personel projektu, czy są pracownikami niezaangażowanymi w projekt).</w:t>
      </w:r>
    </w:p>
    <w:p w14:paraId="25DBCBBA" w14:textId="7C5D95DB" w:rsidR="00A8006C" w:rsidRPr="00A60D6C" w:rsidRDefault="00E66088" w:rsidP="00F70627">
      <w:pPr>
        <w:spacing w:line="276" w:lineRule="auto"/>
        <w:rPr>
          <w:b/>
          <w:bCs/>
          <w:iCs/>
          <w:sz w:val="24"/>
          <w:szCs w:val="24"/>
        </w:rPr>
      </w:pPr>
      <w:r w:rsidRPr="00A60D6C">
        <w:rPr>
          <w:b/>
          <w:bCs/>
          <w:iCs/>
          <w:sz w:val="24"/>
          <w:szCs w:val="24"/>
        </w:rPr>
        <w:t xml:space="preserve">Zarówno dla MŚP, jak i dla dużych przedsiębiorców koszty wskazane w pkt </w:t>
      </w:r>
      <w:r w:rsidR="00E769C2" w:rsidRPr="00A60D6C">
        <w:rPr>
          <w:b/>
          <w:bCs/>
          <w:iCs/>
          <w:sz w:val="24"/>
          <w:szCs w:val="24"/>
        </w:rPr>
        <w:t>6</w:t>
      </w:r>
      <w:r w:rsidRPr="00A60D6C">
        <w:rPr>
          <w:b/>
          <w:bCs/>
          <w:iCs/>
          <w:sz w:val="24"/>
          <w:szCs w:val="24"/>
        </w:rPr>
        <w:t>.3.1 są objęte pomocą z art. 31 Rozporządzenia Komisji (UE) nr 651/2014.</w:t>
      </w:r>
    </w:p>
    <w:p w14:paraId="52259724" w14:textId="56A8D3C1" w:rsidR="00746939" w:rsidRDefault="001D1AE3" w:rsidP="00481499">
      <w:pPr>
        <w:pStyle w:val="Nagwek2"/>
        <w:pageBreakBefore/>
        <w:numPr>
          <w:ilvl w:val="0"/>
          <w:numId w:val="39"/>
        </w:numPr>
        <w:tabs>
          <w:tab w:val="left" w:pos="5954"/>
        </w:tabs>
        <w:spacing w:before="240" w:after="120" w:line="276" w:lineRule="auto"/>
        <w:ind w:left="714" w:hanging="357"/>
        <w:rPr>
          <w:rFonts w:asciiTheme="minorHAnsi" w:hAnsiTheme="minorHAnsi" w:cstheme="minorHAnsi"/>
          <w:b/>
          <w:color w:val="auto"/>
          <w:sz w:val="36"/>
          <w:szCs w:val="36"/>
        </w:rPr>
      </w:pPr>
      <w:bookmarkStart w:id="534" w:name="_Toc202174411"/>
      <w:r w:rsidRPr="00753895">
        <w:rPr>
          <w:rFonts w:asciiTheme="minorHAnsi" w:hAnsiTheme="minorHAnsi" w:cstheme="minorHAnsi"/>
          <w:b/>
          <w:color w:val="auto"/>
          <w:sz w:val="36"/>
          <w:szCs w:val="36"/>
        </w:rPr>
        <w:lastRenderedPageBreak/>
        <w:t xml:space="preserve">Pomoc </w:t>
      </w:r>
      <w:r w:rsidR="00845DD8">
        <w:rPr>
          <w:rFonts w:asciiTheme="minorHAnsi" w:hAnsiTheme="minorHAnsi" w:cstheme="minorHAnsi"/>
          <w:b/>
          <w:color w:val="auto"/>
          <w:sz w:val="36"/>
          <w:szCs w:val="36"/>
        </w:rPr>
        <w:t xml:space="preserve">inwestycyjna </w:t>
      </w:r>
      <w:r w:rsidRPr="00753895">
        <w:rPr>
          <w:rFonts w:asciiTheme="minorHAnsi" w:hAnsiTheme="minorHAnsi" w:cstheme="minorHAnsi"/>
          <w:b/>
          <w:color w:val="auto"/>
          <w:sz w:val="36"/>
          <w:szCs w:val="36"/>
        </w:rPr>
        <w:t>na ochronę środowiska</w:t>
      </w:r>
      <w:bookmarkEnd w:id="534"/>
    </w:p>
    <w:p w14:paraId="52E837FE" w14:textId="2D4AFD54" w:rsidR="00533E90" w:rsidRPr="00930477" w:rsidRDefault="00533E90" w:rsidP="00151815">
      <w:pPr>
        <w:pStyle w:val="Nagwek3"/>
        <w:numPr>
          <w:ilvl w:val="1"/>
          <w:numId w:val="57"/>
        </w:numPr>
        <w:spacing w:before="240" w:line="276" w:lineRule="auto"/>
        <w:rPr>
          <w:rFonts w:asciiTheme="minorHAnsi" w:hAnsiTheme="minorHAnsi" w:cstheme="minorHAnsi"/>
          <w:color w:val="auto"/>
          <w:sz w:val="32"/>
        </w:rPr>
      </w:pPr>
      <w:bookmarkStart w:id="535" w:name="_Toc202174412"/>
      <w:r w:rsidRPr="00930477">
        <w:rPr>
          <w:rFonts w:asciiTheme="minorHAnsi" w:hAnsiTheme="minorHAnsi" w:cstheme="minorHAnsi"/>
          <w:color w:val="auto"/>
          <w:sz w:val="32"/>
        </w:rPr>
        <w:t>Pomoc publiczna</w:t>
      </w:r>
      <w:bookmarkEnd w:id="535"/>
    </w:p>
    <w:p w14:paraId="1DEF7310" w14:textId="09037D32" w:rsidR="00533E90" w:rsidRPr="00151815" w:rsidRDefault="00533E90" w:rsidP="00151815">
      <w:pPr>
        <w:spacing w:after="0" w:line="276" w:lineRule="auto"/>
        <w:rPr>
          <w:rFonts w:cstheme="minorHAnsi"/>
          <w:sz w:val="24"/>
          <w:szCs w:val="24"/>
        </w:rPr>
      </w:pPr>
      <w:r w:rsidRPr="00762814">
        <w:rPr>
          <w:rFonts w:cstheme="minorHAnsi"/>
          <w:sz w:val="24"/>
          <w:szCs w:val="24"/>
        </w:rPr>
        <w:t xml:space="preserve">Wnioskodawca może uzyskać wsparcie w </w:t>
      </w:r>
      <w:r w:rsidR="006718AF">
        <w:rPr>
          <w:rFonts w:cstheme="minorHAnsi"/>
          <w:sz w:val="24"/>
          <w:szCs w:val="24"/>
        </w:rPr>
        <w:t xml:space="preserve">projekcie </w:t>
      </w:r>
      <w:r w:rsidRPr="00762814">
        <w:rPr>
          <w:rFonts w:cstheme="minorHAnsi"/>
          <w:sz w:val="24"/>
          <w:szCs w:val="24"/>
        </w:rPr>
        <w:t>na podstawie</w:t>
      </w:r>
      <w:r w:rsidR="00051664">
        <w:rPr>
          <w:rFonts w:cstheme="minorHAnsi"/>
          <w:bCs/>
          <w:sz w:val="24"/>
          <w:szCs w:val="24"/>
        </w:rPr>
        <w:t xml:space="preserve"> </w:t>
      </w:r>
      <w:r w:rsidRPr="00151815">
        <w:rPr>
          <w:rFonts w:cstheme="minorHAnsi"/>
          <w:bCs/>
          <w:sz w:val="24"/>
          <w:szCs w:val="24"/>
        </w:rPr>
        <w:t>rozporządzenia Komisji (UE) nr 651/2014</w:t>
      </w:r>
      <w:r w:rsidRPr="00151815">
        <w:rPr>
          <w:rFonts w:cstheme="minorHAnsi"/>
          <w:sz w:val="24"/>
          <w:szCs w:val="24"/>
        </w:rPr>
        <w:t xml:space="preserve"> jako:</w:t>
      </w:r>
    </w:p>
    <w:p w14:paraId="15A9D3F6" w14:textId="77777777" w:rsidR="00533E90" w:rsidRPr="00762814" w:rsidRDefault="00533E90" w:rsidP="00941ED8">
      <w:pPr>
        <w:pStyle w:val="Akapitzlist"/>
        <w:numPr>
          <w:ilvl w:val="1"/>
          <w:numId w:val="6"/>
        </w:numPr>
        <w:spacing w:after="120" w:line="276" w:lineRule="auto"/>
        <w:ind w:left="1077" w:hanging="357"/>
        <w:rPr>
          <w:rFonts w:cstheme="minorHAnsi"/>
          <w:sz w:val="24"/>
          <w:szCs w:val="24"/>
        </w:rPr>
      </w:pPr>
      <w:r w:rsidRPr="00762814">
        <w:rPr>
          <w:rFonts w:cstheme="minorHAnsi"/>
          <w:sz w:val="24"/>
          <w:szCs w:val="24"/>
        </w:rPr>
        <w:t xml:space="preserve">pomoc inwestycyjną </w:t>
      </w:r>
      <w:r>
        <w:rPr>
          <w:rFonts w:cstheme="minorHAnsi"/>
          <w:sz w:val="24"/>
          <w:szCs w:val="24"/>
        </w:rPr>
        <w:t xml:space="preserve">na ochronę środowiska, w tym obniżenie emisyjności </w:t>
      </w:r>
      <w:r w:rsidRPr="00762814">
        <w:rPr>
          <w:rFonts w:cstheme="minorHAnsi"/>
          <w:sz w:val="24"/>
          <w:szCs w:val="24"/>
        </w:rPr>
        <w:t>(art. 36);</w:t>
      </w:r>
    </w:p>
    <w:p w14:paraId="2F3541CF" w14:textId="77777777" w:rsidR="00533E90" w:rsidRDefault="00533E90" w:rsidP="00941ED8">
      <w:pPr>
        <w:pStyle w:val="Akapitzlist"/>
        <w:numPr>
          <w:ilvl w:val="1"/>
          <w:numId w:val="6"/>
        </w:numPr>
        <w:spacing w:after="120" w:line="276" w:lineRule="auto"/>
        <w:ind w:left="1077" w:hanging="357"/>
        <w:rPr>
          <w:rFonts w:cstheme="minorHAnsi"/>
          <w:sz w:val="24"/>
          <w:szCs w:val="24"/>
        </w:rPr>
      </w:pPr>
      <w:r w:rsidRPr="00762814">
        <w:rPr>
          <w:rFonts w:cstheme="minorHAnsi"/>
          <w:sz w:val="24"/>
          <w:szCs w:val="24"/>
        </w:rPr>
        <w:t xml:space="preserve">pomoc inwestycyjną na środki wspierające efektywność energetyczną </w:t>
      </w:r>
      <w:r w:rsidRPr="001733D2">
        <w:rPr>
          <w:rFonts w:cstheme="minorHAnsi"/>
          <w:sz w:val="24"/>
          <w:szCs w:val="24"/>
        </w:rPr>
        <w:t xml:space="preserve">inną niż w  budynkach </w:t>
      </w:r>
      <w:r w:rsidRPr="00762814">
        <w:rPr>
          <w:rFonts w:cstheme="minorHAnsi"/>
          <w:sz w:val="24"/>
          <w:szCs w:val="24"/>
        </w:rPr>
        <w:t>(art. 38);</w:t>
      </w:r>
    </w:p>
    <w:p w14:paraId="292A79F1" w14:textId="7FAF1433" w:rsidR="00533E90" w:rsidRPr="000E38A9" w:rsidRDefault="00533E90" w:rsidP="00941ED8">
      <w:pPr>
        <w:pStyle w:val="Akapitzlist"/>
        <w:numPr>
          <w:ilvl w:val="1"/>
          <w:numId w:val="6"/>
        </w:numPr>
        <w:spacing w:after="120" w:line="276" w:lineRule="auto"/>
        <w:ind w:left="1077" w:hanging="357"/>
        <w:rPr>
          <w:rFonts w:cstheme="minorHAnsi"/>
          <w:sz w:val="24"/>
          <w:szCs w:val="24"/>
        </w:rPr>
      </w:pPr>
      <w:r w:rsidRPr="000E6F74">
        <w:rPr>
          <w:rFonts w:cstheme="minorHAnsi"/>
          <w:sz w:val="24"/>
          <w:szCs w:val="24"/>
        </w:rPr>
        <w:t>pomoc inwestycyjn</w:t>
      </w:r>
      <w:r>
        <w:rPr>
          <w:rFonts w:cstheme="minorHAnsi"/>
          <w:sz w:val="24"/>
          <w:szCs w:val="24"/>
        </w:rPr>
        <w:t>ą</w:t>
      </w:r>
      <w:r w:rsidRPr="000E6F74">
        <w:rPr>
          <w:rFonts w:cstheme="minorHAnsi"/>
          <w:sz w:val="24"/>
          <w:szCs w:val="24"/>
        </w:rPr>
        <w:t xml:space="preserve"> na środki wspierające efektywność energetyczną w budynkach (art. 38a)</w:t>
      </w:r>
    </w:p>
    <w:p w14:paraId="5D94E0ED" w14:textId="77777777" w:rsidR="00533E90" w:rsidRPr="00762814" w:rsidRDefault="00533E90" w:rsidP="00941ED8">
      <w:pPr>
        <w:pStyle w:val="Akapitzlist"/>
        <w:numPr>
          <w:ilvl w:val="1"/>
          <w:numId w:val="6"/>
        </w:numPr>
        <w:spacing w:after="120" w:line="276" w:lineRule="auto"/>
        <w:ind w:left="1077" w:hanging="357"/>
        <w:rPr>
          <w:rFonts w:cstheme="minorHAnsi"/>
          <w:sz w:val="24"/>
          <w:szCs w:val="24"/>
        </w:rPr>
      </w:pPr>
      <w:r w:rsidRPr="00762814">
        <w:rPr>
          <w:rFonts w:cstheme="minorHAnsi"/>
          <w:sz w:val="24"/>
          <w:szCs w:val="24"/>
        </w:rPr>
        <w:t>pomoc inwestycyjną na propagowanie energii ze źródeł odnawialnych</w:t>
      </w:r>
      <w:r>
        <w:rPr>
          <w:rFonts w:cstheme="minorHAnsi"/>
          <w:sz w:val="24"/>
          <w:szCs w:val="24"/>
        </w:rPr>
        <w:t xml:space="preserve">, </w:t>
      </w:r>
      <w:r w:rsidRPr="000E6F74">
        <w:rPr>
          <w:rFonts w:cstheme="minorHAnsi"/>
          <w:sz w:val="24"/>
          <w:szCs w:val="24"/>
        </w:rPr>
        <w:t>propagowanie wodoru odnawialnego i wysokosprawnej kogeneracji</w:t>
      </w:r>
      <w:r w:rsidRPr="00762814">
        <w:rPr>
          <w:rFonts w:cstheme="minorHAnsi"/>
          <w:sz w:val="24"/>
          <w:szCs w:val="24"/>
        </w:rPr>
        <w:t xml:space="preserve"> (art.</w:t>
      </w:r>
      <w:r>
        <w:rPr>
          <w:rFonts w:cstheme="minorHAnsi"/>
          <w:sz w:val="24"/>
          <w:szCs w:val="24"/>
        </w:rPr>
        <w:t> </w:t>
      </w:r>
      <w:r w:rsidRPr="00762814">
        <w:rPr>
          <w:rFonts w:cstheme="minorHAnsi"/>
          <w:sz w:val="24"/>
          <w:szCs w:val="24"/>
        </w:rPr>
        <w:t>41);</w:t>
      </w:r>
    </w:p>
    <w:p w14:paraId="2CCEB21F" w14:textId="77777777" w:rsidR="00533E90" w:rsidRPr="00762814" w:rsidRDefault="00533E90" w:rsidP="00941ED8">
      <w:pPr>
        <w:pStyle w:val="Akapitzlist"/>
        <w:numPr>
          <w:ilvl w:val="1"/>
          <w:numId w:val="6"/>
        </w:numPr>
        <w:spacing w:after="120" w:line="276" w:lineRule="auto"/>
        <w:ind w:left="1077" w:hanging="357"/>
        <w:rPr>
          <w:rFonts w:cstheme="minorHAnsi"/>
          <w:sz w:val="24"/>
          <w:szCs w:val="24"/>
        </w:rPr>
      </w:pPr>
      <w:r w:rsidRPr="00762814">
        <w:rPr>
          <w:rFonts w:cstheme="minorHAnsi"/>
          <w:sz w:val="24"/>
          <w:szCs w:val="24"/>
        </w:rPr>
        <w:t>pomoc inwestycyjną</w:t>
      </w:r>
      <w:r>
        <w:rPr>
          <w:rFonts w:cstheme="minorHAnsi"/>
          <w:sz w:val="24"/>
          <w:szCs w:val="24"/>
        </w:rPr>
        <w:t xml:space="preserve"> </w:t>
      </w:r>
      <w:r w:rsidRPr="000E6F74">
        <w:rPr>
          <w:rFonts w:cstheme="minorHAnsi"/>
          <w:sz w:val="24"/>
          <w:szCs w:val="24"/>
        </w:rPr>
        <w:t>na efektywne gospodarowanie zasobami i wspieranie przechodzenia na gospodarkę o obiegu zamkniętym</w:t>
      </w:r>
      <w:r w:rsidRPr="00762814">
        <w:rPr>
          <w:rFonts w:cstheme="minorHAnsi"/>
          <w:sz w:val="24"/>
          <w:szCs w:val="24"/>
        </w:rPr>
        <w:t xml:space="preserve"> (art. 47).</w:t>
      </w:r>
    </w:p>
    <w:p w14:paraId="30AE2057" w14:textId="161790CA" w:rsidR="00BA7C34" w:rsidRPr="00930477" w:rsidRDefault="00533E90" w:rsidP="003901B9">
      <w:pPr>
        <w:pStyle w:val="Nagwek3"/>
        <w:spacing w:before="240" w:after="120" w:line="276" w:lineRule="auto"/>
        <w:rPr>
          <w:rFonts w:asciiTheme="minorHAnsi" w:hAnsiTheme="minorHAnsi" w:cstheme="minorHAnsi"/>
          <w:color w:val="auto"/>
          <w:sz w:val="32"/>
        </w:rPr>
      </w:pPr>
      <w:bookmarkStart w:id="536" w:name="_Toc202174413"/>
      <w:r>
        <w:rPr>
          <w:rFonts w:asciiTheme="minorHAnsi" w:hAnsiTheme="minorHAnsi" w:cstheme="minorHAnsi"/>
          <w:color w:val="auto"/>
          <w:sz w:val="32"/>
        </w:rPr>
        <w:t xml:space="preserve">7.2 </w:t>
      </w:r>
      <w:r w:rsidR="00BA7C34" w:rsidRPr="00930477">
        <w:rPr>
          <w:rFonts w:asciiTheme="minorHAnsi" w:hAnsiTheme="minorHAnsi" w:cstheme="minorHAnsi"/>
          <w:color w:val="auto"/>
          <w:sz w:val="32"/>
        </w:rPr>
        <w:t xml:space="preserve">Limity wydatków kwalifikowalnych </w:t>
      </w:r>
      <w:r w:rsidR="000F00FD">
        <w:rPr>
          <w:rFonts w:asciiTheme="minorHAnsi" w:hAnsiTheme="minorHAnsi" w:cstheme="minorHAnsi"/>
          <w:color w:val="auto"/>
          <w:sz w:val="32"/>
        </w:rPr>
        <w:t>w projekcie</w:t>
      </w:r>
      <w:r w:rsidR="00BA7C34" w:rsidRPr="00930477">
        <w:rPr>
          <w:rFonts w:asciiTheme="minorHAnsi" w:hAnsiTheme="minorHAnsi" w:cstheme="minorHAnsi"/>
          <w:color w:val="auto"/>
          <w:sz w:val="32"/>
        </w:rPr>
        <w:t xml:space="preserve"> oraz limity dofinansowania</w:t>
      </w:r>
      <w:bookmarkEnd w:id="536"/>
    </w:p>
    <w:p w14:paraId="231B81F3" w14:textId="77777777" w:rsidR="00BA7C34" w:rsidRPr="00762814" w:rsidRDefault="00BA7C34" w:rsidP="002D417B">
      <w:pPr>
        <w:spacing w:after="120" w:line="276" w:lineRule="auto"/>
        <w:rPr>
          <w:rFonts w:cstheme="minorHAnsi"/>
          <w:sz w:val="24"/>
          <w:szCs w:val="24"/>
          <w:u w:val="single"/>
        </w:rPr>
      </w:pPr>
      <w:r w:rsidRPr="00762814">
        <w:rPr>
          <w:rFonts w:cstheme="minorHAnsi"/>
          <w:sz w:val="24"/>
          <w:szCs w:val="24"/>
          <w:u w:val="single"/>
        </w:rPr>
        <w:t>Limity wynikające z przepisów pomocy publicznej:</w:t>
      </w:r>
    </w:p>
    <w:p w14:paraId="715500AB" w14:textId="77777777" w:rsidR="00BA7C34" w:rsidRPr="002228EE" w:rsidRDefault="00BA7C34" w:rsidP="00941ED8">
      <w:pPr>
        <w:pStyle w:val="Akapitzlist"/>
        <w:numPr>
          <w:ilvl w:val="0"/>
          <w:numId w:val="13"/>
        </w:numPr>
        <w:spacing w:after="120" w:line="276" w:lineRule="auto"/>
        <w:rPr>
          <w:rFonts w:cstheme="minorHAnsi"/>
          <w:bCs/>
          <w:sz w:val="24"/>
          <w:szCs w:val="24"/>
        </w:rPr>
      </w:pPr>
      <w:r w:rsidRPr="00A31920">
        <w:rPr>
          <w:rFonts w:cstheme="minorHAnsi"/>
          <w:b/>
          <w:bCs/>
          <w:sz w:val="24"/>
          <w:szCs w:val="24"/>
        </w:rPr>
        <w:t>Intensywność pomocy</w:t>
      </w:r>
      <w:r w:rsidRPr="00A31920">
        <w:rPr>
          <w:rFonts w:cstheme="minorHAnsi"/>
          <w:sz w:val="24"/>
          <w:szCs w:val="24"/>
        </w:rPr>
        <w:t xml:space="preserve"> na wydatki w ramach poszczególnych przeznaczeń pomocy nie może przekroczyć:</w:t>
      </w:r>
    </w:p>
    <w:p w14:paraId="22218D4F" w14:textId="77777777" w:rsidR="00BA7C34" w:rsidRDefault="00BA7C34" w:rsidP="00941ED8">
      <w:pPr>
        <w:pStyle w:val="Akapitzlist"/>
        <w:numPr>
          <w:ilvl w:val="0"/>
          <w:numId w:val="8"/>
        </w:numPr>
        <w:spacing w:after="120" w:line="276" w:lineRule="auto"/>
        <w:ind w:left="1077" w:hanging="357"/>
        <w:rPr>
          <w:rFonts w:cstheme="minorHAnsi"/>
          <w:sz w:val="24"/>
          <w:szCs w:val="24"/>
        </w:rPr>
      </w:pPr>
      <w:r w:rsidRPr="00762814">
        <w:rPr>
          <w:rFonts w:cstheme="minorHAnsi"/>
          <w:sz w:val="24"/>
          <w:szCs w:val="24"/>
        </w:rPr>
        <w:t xml:space="preserve">w przypadku </w:t>
      </w:r>
      <w:r w:rsidRPr="00D22EDD">
        <w:rPr>
          <w:b/>
          <w:sz w:val="24"/>
        </w:rPr>
        <w:t xml:space="preserve">pomocy inwestycyjnej na </w:t>
      </w:r>
      <w:r w:rsidRPr="00A31920">
        <w:rPr>
          <w:rFonts w:cstheme="minorHAnsi"/>
          <w:b/>
          <w:sz w:val="24"/>
          <w:szCs w:val="24"/>
        </w:rPr>
        <w:t>ochronę środowiska, w tym obniżenie emisyjności</w:t>
      </w:r>
      <w:r>
        <w:rPr>
          <w:rFonts w:cstheme="minorHAnsi"/>
          <w:sz w:val="24"/>
          <w:szCs w:val="24"/>
        </w:rPr>
        <w:t xml:space="preserve">: </w:t>
      </w:r>
    </w:p>
    <w:p w14:paraId="1A03B770" w14:textId="01984660" w:rsidR="00661445" w:rsidRPr="00481499" w:rsidRDefault="00661445" w:rsidP="00481499">
      <w:pPr>
        <w:pStyle w:val="Akapitzlist"/>
        <w:numPr>
          <w:ilvl w:val="0"/>
          <w:numId w:val="16"/>
        </w:numPr>
        <w:spacing w:after="120" w:line="276" w:lineRule="auto"/>
        <w:ind w:left="1434" w:hanging="357"/>
        <w:rPr>
          <w:rFonts w:cstheme="minorHAnsi"/>
          <w:sz w:val="24"/>
          <w:szCs w:val="24"/>
        </w:rPr>
      </w:pPr>
      <w:r>
        <w:rPr>
          <w:rFonts w:cstheme="minorHAnsi"/>
          <w:sz w:val="24"/>
          <w:szCs w:val="24"/>
        </w:rPr>
        <w:t>30% kosztów kwalifikowalnych – w przypadku inwestycji związanych z CCS</w:t>
      </w:r>
      <w:r w:rsidR="00C34894">
        <w:rPr>
          <w:rStyle w:val="Odwoanieprzypisudolnego"/>
          <w:rFonts w:cstheme="minorHAnsi"/>
          <w:sz w:val="24"/>
          <w:szCs w:val="24"/>
        </w:rPr>
        <w:footnoteReference w:id="9"/>
      </w:r>
      <w:r>
        <w:rPr>
          <w:rFonts w:cstheme="minorHAnsi"/>
          <w:sz w:val="24"/>
          <w:szCs w:val="24"/>
        </w:rPr>
        <w:t xml:space="preserve"> lub CCU</w:t>
      </w:r>
      <w:r w:rsidR="00C34894">
        <w:rPr>
          <w:rStyle w:val="Odwoanieprzypisudolnego"/>
          <w:rFonts w:cstheme="minorHAnsi"/>
          <w:sz w:val="24"/>
          <w:szCs w:val="24"/>
        </w:rPr>
        <w:footnoteReference w:id="10"/>
      </w:r>
      <w:r>
        <w:rPr>
          <w:rFonts w:cstheme="minorHAnsi"/>
          <w:sz w:val="24"/>
          <w:szCs w:val="24"/>
        </w:rPr>
        <w:t>;</w:t>
      </w:r>
    </w:p>
    <w:p w14:paraId="7C36CB7D" w14:textId="34487CB5" w:rsidR="00BA7C34" w:rsidRPr="00954D55" w:rsidRDefault="00BA7C34" w:rsidP="00661445">
      <w:pPr>
        <w:pStyle w:val="Akapitzlist"/>
        <w:numPr>
          <w:ilvl w:val="0"/>
          <w:numId w:val="16"/>
        </w:numPr>
        <w:spacing w:after="120" w:line="276" w:lineRule="auto"/>
        <w:ind w:left="1434" w:hanging="357"/>
        <w:rPr>
          <w:rFonts w:cstheme="minorHAnsi"/>
          <w:sz w:val="24"/>
          <w:szCs w:val="24"/>
        </w:rPr>
      </w:pPr>
      <w:r w:rsidRPr="00954D55">
        <w:rPr>
          <w:rFonts w:cstheme="minorHAnsi"/>
          <w:sz w:val="24"/>
          <w:szCs w:val="24"/>
        </w:rPr>
        <w:t>50% kosztów kwalifikowalnych - w przypadku</w:t>
      </w:r>
      <w:r>
        <w:rPr>
          <w:rFonts w:cstheme="minorHAnsi"/>
          <w:sz w:val="24"/>
          <w:szCs w:val="24"/>
        </w:rPr>
        <w:t>,</w:t>
      </w:r>
      <w:r w:rsidRPr="00954D55">
        <w:rPr>
          <w:rFonts w:cstheme="minorHAnsi"/>
          <w:sz w:val="24"/>
          <w:szCs w:val="24"/>
        </w:rPr>
        <w:t xml:space="preserve"> gdy inwestycja prowadzi do </w:t>
      </w:r>
      <w:r w:rsidR="00C12053">
        <w:rPr>
          <w:rFonts w:cstheme="minorHAnsi"/>
          <w:sz w:val="24"/>
          <w:szCs w:val="24"/>
        </w:rPr>
        <w:t>100%</w:t>
      </w:r>
      <w:r w:rsidR="00C12053" w:rsidRPr="00954D55">
        <w:rPr>
          <w:rFonts w:cstheme="minorHAnsi"/>
          <w:sz w:val="24"/>
          <w:szCs w:val="24"/>
        </w:rPr>
        <w:t xml:space="preserve"> </w:t>
      </w:r>
      <w:r w:rsidRPr="00954D55">
        <w:rPr>
          <w:rFonts w:cstheme="minorHAnsi"/>
          <w:sz w:val="24"/>
          <w:szCs w:val="24"/>
        </w:rPr>
        <w:t>redukcji bezpośrednich emisji</w:t>
      </w:r>
      <w:r w:rsidRPr="002A4EF4">
        <w:rPr>
          <w:rFonts w:ascii="Noto Serif" w:hAnsi="Noto Serif" w:cs="Noto Serif"/>
          <w:color w:val="333333"/>
          <w:shd w:val="clear" w:color="auto" w:fill="FFFFFF"/>
        </w:rPr>
        <w:t xml:space="preserve"> </w:t>
      </w:r>
      <w:r w:rsidRPr="002A4EF4">
        <w:rPr>
          <w:rFonts w:cstheme="minorHAnsi"/>
          <w:sz w:val="24"/>
          <w:szCs w:val="24"/>
        </w:rPr>
        <w:t>gazów cieplarnianych</w:t>
      </w:r>
      <w:r w:rsidRPr="00954D55">
        <w:rPr>
          <w:rFonts w:cstheme="minorHAnsi"/>
          <w:sz w:val="24"/>
          <w:szCs w:val="24"/>
        </w:rPr>
        <w:t>, z wyjątkiem inwestycji opartych na wykorzystaniu biomasy;</w:t>
      </w:r>
    </w:p>
    <w:p w14:paraId="5D2978AA" w14:textId="77777777" w:rsidR="00BA7C34" w:rsidRPr="00D6308A" w:rsidRDefault="00BA7C34" w:rsidP="00661445">
      <w:pPr>
        <w:pStyle w:val="Akapitzlist"/>
        <w:numPr>
          <w:ilvl w:val="0"/>
          <w:numId w:val="16"/>
        </w:numPr>
        <w:spacing w:after="120" w:line="276" w:lineRule="auto"/>
        <w:ind w:left="1434" w:hanging="357"/>
        <w:rPr>
          <w:rFonts w:cstheme="minorHAnsi"/>
          <w:sz w:val="24"/>
          <w:szCs w:val="24"/>
        </w:rPr>
      </w:pPr>
      <w:r w:rsidRPr="00D6308A">
        <w:rPr>
          <w:rFonts w:cstheme="minorHAnsi"/>
          <w:sz w:val="24"/>
          <w:szCs w:val="24"/>
        </w:rPr>
        <w:t xml:space="preserve">40% kosztów kwalifikowalnych - w przypadku pozostałych inwestycji wspieranych na zasadach określonych w art. 36 rozporządzenia Komisji (UE) nr 651/2014; </w:t>
      </w:r>
    </w:p>
    <w:p w14:paraId="5F61E21F" w14:textId="6CB82B24" w:rsidR="00C32C4A" w:rsidRPr="00753895" w:rsidRDefault="00BA7C34" w:rsidP="00941ED8">
      <w:pPr>
        <w:pStyle w:val="Akapitzlist"/>
        <w:numPr>
          <w:ilvl w:val="0"/>
          <w:numId w:val="8"/>
        </w:numPr>
        <w:spacing w:after="120" w:line="276" w:lineRule="auto"/>
        <w:ind w:left="1077" w:hanging="357"/>
        <w:rPr>
          <w:rFonts w:cstheme="minorHAnsi"/>
          <w:sz w:val="24"/>
          <w:szCs w:val="24"/>
        </w:rPr>
      </w:pPr>
      <w:r w:rsidRPr="00D6308A">
        <w:rPr>
          <w:rFonts w:cstheme="minorHAnsi"/>
          <w:bCs/>
          <w:sz w:val="24"/>
          <w:szCs w:val="24"/>
        </w:rPr>
        <w:t xml:space="preserve">30% </w:t>
      </w:r>
      <w:r w:rsidR="00C12053">
        <w:rPr>
          <w:rFonts w:cstheme="minorHAnsi"/>
          <w:bCs/>
          <w:sz w:val="24"/>
          <w:szCs w:val="24"/>
        </w:rPr>
        <w:t xml:space="preserve">kosztów kwalifikowalnych </w:t>
      </w:r>
      <w:r w:rsidRPr="00D6308A">
        <w:rPr>
          <w:rFonts w:cstheme="minorHAnsi"/>
          <w:bCs/>
          <w:sz w:val="24"/>
          <w:szCs w:val="24"/>
        </w:rPr>
        <w:t xml:space="preserve">w </w:t>
      </w:r>
      <w:r w:rsidRPr="00D6308A">
        <w:rPr>
          <w:rFonts w:cstheme="minorHAnsi"/>
          <w:sz w:val="24"/>
          <w:szCs w:val="24"/>
        </w:rPr>
        <w:t>przypadku</w:t>
      </w:r>
      <w:r w:rsidRPr="00D6308A">
        <w:rPr>
          <w:rFonts w:cstheme="minorHAnsi"/>
          <w:b/>
          <w:bCs/>
          <w:sz w:val="24"/>
          <w:szCs w:val="24"/>
        </w:rPr>
        <w:t xml:space="preserve"> </w:t>
      </w:r>
      <w:r w:rsidRPr="00D6308A">
        <w:rPr>
          <w:rFonts w:cstheme="minorHAnsi"/>
          <w:sz w:val="24"/>
          <w:szCs w:val="24"/>
        </w:rPr>
        <w:t xml:space="preserve">pomocy inwestycyjnej na środki wspierające </w:t>
      </w:r>
      <w:r w:rsidRPr="00D6308A">
        <w:rPr>
          <w:rFonts w:cstheme="minorHAnsi"/>
          <w:b/>
          <w:sz w:val="24"/>
          <w:szCs w:val="24"/>
        </w:rPr>
        <w:t>efektywność energetyczną inną niż</w:t>
      </w:r>
      <w:r w:rsidRPr="00D6308A">
        <w:rPr>
          <w:b/>
          <w:sz w:val="24"/>
          <w:szCs w:val="24"/>
        </w:rPr>
        <w:t xml:space="preserve"> w </w:t>
      </w:r>
      <w:r w:rsidRPr="00D6308A">
        <w:rPr>
          <w:rFonts w:cstheme="minorHAnsi"/>
          <w:b/>
          <w:sz w:val="24"/>
          <w:szCs w:val="24"/>
        </w:rPr>
        <w:t>budynkac</w:t>
      </w:r>
      <w:r w:rsidR="00C32C4A" w:rsidRPr="00D6308A">
        <w:rPr>
          <w:rFonts w:cstheme="minorHAnsi"/>
          <w:b/>
          <w:sz w:val="24"/>
          <w:szCs w:val="24"/>
        </w:rPr>
        <w:t>h;</w:t>
      </w:r>
    </w:p>
    <w:p w14:paraId="73EAD9DB" w14:textId="77777777" w:rsidR="00BA7C34" w:rsidRPr="00D6308A" w:rsidRDefault="00BA7C34" w:rsidP="00941ED8">
      <w:pPr>
        <w:pStyle w:val="Akapitzlist"/>
        <w:numPr>
          <w:ilvl w:val="0"/>
          <w:numId w:val="8"/>
        </w:numPr>
        <w:spacing w:after="120" w:line="276" w:lineRule="auto"/>
        <w:ind w:left="1077" w:hanging="357"/>
        <w:rPr>
          <w:rFonts w:cstheme="minorHAnsi"/>
          <w:sz w:val="24"/>
          <w:szCs w:val="24"/>
        </w:rPr>
      </w:pPr>
      <w:r w:rsidRPr="00D6308A">
        <w:rPr>
          <w:rFonts w:cstheme="minorHAnsi"/>
          <w:sz w:val="24"/>
          <w:szCs w:val="24"/>
        </w:rPr>
        <w:t xml:space="preserve">w przypadku pomocy inwestycyjnej na środki wspierające </w:t>
      </w:r>
      <w:r w:rsidRPr="00D6308A">
        <w:rPr>
          <w:rFonts w:cstheme="minorHAnsi"/>
          <w:b/>
          <w:sz w:val="24"/>
          <w:szCs w:val="24"/>
        </w:rPr>
        <w:t>efektywność energetyczną w budynkach</w:t>
      </w:r>
      <w:r w:rsidRPr="00D6308A">
        <w:rPr>
          <w:rFonts w:cstheme="minorHAnsi"/>
          <w:sz w:val="24"/>
          <w:szCs w:val="24"/>
        </w:rPr>
        <w:t>:</w:t>
      </w:r>
    </w:p>
    <w:p w14:paraId="13B48D4A" w14:textId="77777777" w:rsidR="00BA7C34" w:rsidRPr="00D6308A" w:rsidRDefault="00BA7C34" w:rsidP="00941ED8">
      <w:pPr>
        <w:pStyle w:val="Akapitzlist"/>
        <w:numPr>
          <w:ilvl w:val="1"/>
          <w:numId w:val="8"/>
        </w:numPr>
        <w:spacing w:after="120" w:line="276" w:lineRule="auto"/>
        <w:ind w:left="1434" w:hanging="357"/>
        <w:rPr>
          <w:rFonts w:cstheme="minorHAnsi"/>
          <w:sz w:val="24"/>
          <w:szCs w:val="24"/>
        </w:rPr>
      </w:pPr>
      <w:r w:rsidRPr="00D6308A">
        <w:rPr>
          <w:rFonts w:cstheme="minorHAnsi"/>
          <w:sz w:val="24"/>
          <w:szCs w:val="24"/>
        </w:rPr>
        <w:lastRenderedPageBreak/>
        <w:t>25% kosztów kwalifikowalnych - w przypadku inwestycji polegających na instalacji lub wymianie tylko jednego rodzaju elementów budynku w rozumieniu art. 2 pkt 9 dyrektywy 2010/31/UE;</w:t>
      </w:r>
    </w:p>
    <w:p w14:paraId="109D0490" w14:textId="77777777" w:rsidR="00BA7C34" w:rsidRPr="00D6308A" w:rsidRDefault="00BA7C34" w:rsidP="00941ED8">
      <w:pPr>
        <w:pStyle w:val="Akapitzlist"/>
        <w:numPr>
          <w:ilvl w:val="1"/>
          <w:numId w:val="8"/>
        </w:numPr>
        <w:spacing w:after="120" w:line="276" w:lineRule="auto"/>
        <w:ind w:left="1434" w:hanging="357"/>
        <w:rPr>
          <w:rFonts w:cstheme="minorHAnsi"/>
          <w:sz w:val="24"/>
          <w:szCs w:val="24"/>
        </w:rPr>
      </w:pPr>
      <w:r w:rsidRPr="00D6308A">
        <w:rPr>
          <w:rFonts w:cstheme="minorHAnsi"/>
          <w:sz w:val="24"/>
          <w:szCs w:val="24"/>
        </w:rPr>
        <w:t>30% kosztów kwalifikowalnych - w przypadku pozostałych inwestycji</w:t>
      </w:r>
      <w:r w:rsidRPr="00753895">
        <w:rPr>
          <w:sz w:val="24"/>
          <w:szCs w:val="24"/>
        </w:rPr>
        <w:t xml:space="preserve"> </w:t>
      </w:r>
      <w:r w:rsidRPr="00D6308A">
        <w:rPr>
          <w:rFonts w:cstheme="minorHAnsi"/>
          <w:sz w:val="24"/>
          <w:szCs w:val="24"/>
        </w:rPr>
        <w:t>wspierających efektywność energetyczną w budynkach;</w:t>
      </w:r>
    </w:p>
    <w:p w14:paraId="72C4B006" w14:textId="77777777" w:rsidR="00BA7C34" w:rsidRPr="00D6308A" w:rsidRDefault="00BA7C34" w:rsidP="00941ED8">
      <w:pPr>
        <w:pStyle w:val="Akapitzlist"/>
        <w:numPr>
          <w:ilvl w:val="0"/>
          <w:numId w:val="8"/>
        </w:numPr>
        <w:spacing w:after="120" w:line="276" w:lineRule="auto"/>
        <w:ind w:left="1077" w:hanging="357"/>
        <w:rPr>
          <w:rFonts w:cstheme="minorHAnsi"/>
          <w:sz w:val="24"/>
          <w:szCs w:val="24"/>
        </w:rPr>
      </w:pPr>
      <w:r w:rsidRPr="00D6308A">
        <w:rPr>
          <w:rFonts w:cstheme="minorHAnsi"/>
          <w:sz w:val="24"/>
          <w:szCs w:val="24"/>
        </w:rPr>
        <w:t xml:space="preserve">w przypadku pomocy inwestycyjnej na </w:t>
      </w:r>
      <w:r w:rsidRPr="00D6308A">
        <w:rPr>
          <w:rFonts w:cstheme="minorHAnsi"/>
          <w:b/>
          <w:bCs/>
          <w:sz w:val="24"/>
          <w:szCs w:val="24"/>
        </w:rPr>
        <w:t>propagowanie energii ze źródeł odnawialnych</w:t>
      </w:r>
      <w:r w:rsidRPr="00D6308A">
        <w:rPr>
          <w:rFonts w:cstheme="minorHAnsi"/>
          <w:sz w:val="24"/>
          <w:szCs w:val="24"/>
        </w:rPr>
        <w:t xml:space="preserve">, </w:t>
      </w:r>
      <w:r w:rsidRPr="00D6308A">
        <w:rPr>
          <w:rFonts w:cstheme="minorHAnsi"/>
          <w:b/>
          <w:sz w:val="24"/>
          <w:szCs w:val="24"/>
        </w:rPr>
        <w:t>propagowanie wodoru odnawialnego i wysokosprawnej kogeneracji:</w:t>
      </w:r>
    </w:p>
    <w:p w14:paraId="7EA1BA5B" w14:textId="2E8BCE17" w:rsidR="00BA7C34" w:rsidRPr="00D6308A" w:rsidRDefault="00BA7C34" w:rsidP="00941ED8">
      <w:pPr>
        <w:pStyle w:val="Akapitzlist"/>
        <w:numPr>
          <w:ilvl w:val="1"/>
          <w:numId w:val="8"/>
        </w:numPr>
        <w:spacing w:after="120" w:line="276" w:lineRule="auto"/>
        <w:ind w:left="1434" w:hanging="357"/>
        <w:rPr>
          <w:rFonts w:cstheme="minorHAnsi"/>
          <w:sz w:val="24"/>
          <w:szCs w:val="24"/>
        </w:rPr>
      </w:pPr>
      <w:r w:rsidRPr="00D6308A">
        <w:rPr>
          <w:rFonts w:cstheme="minorHAnsi"/>
          <w:sz w:val="24"/>
          <w:szCs w:val="24"/>
        </w:rPr>
        <w:t xml:space="preserve">45% kosztów kwalifikowalnych - w przypadku inwestycji </w:t>
      </w:r>
      <w:r w:rsidR="00C12053" w:rsidRPr="002D168E">
        <w:rPr>
          <w:rFonts w:cstheme="minorHAnsi"/>
          <w:sz w:val="24"/>
          <w:szCs w:val="24"/>
        </w:rPr>
        <w:t>w produkcję odnawialnych źródeł energii</w:t>
      </w:r>
      <w:r w:rsidRPr="00D6308A">
        <w:rPr>
          <w:rFonts w:cstheme="minorHAnsi"/>
          <w:sz w:val="24"/>
          <w:szCs w:val="24"/>
        </w:rPr>
        <w:t>, z uwzględnieniem pomp ciepła w rozumieniu art. 2 pkt 108b rozporządzenia Komisji (UE)  nr 651/2014 spełniających warunki określone w Załączniku VII do dyrektywy 2018/2001, wodoru odnawialnego oraz wysokosprawnej kogeneracji opartej na</w:t>
      </w:r>
      <w:r w:rsidRPr="00D6308A">
        <w:rPr>
          <w:sz w:val="24"/>
          <w:szCs w:val="24"/>
        </w:rPr>
        <w:t xml:space="preserve"> odnawialnych</w:t>
      </w:r>
      <w:r w:rsidRPr="00D6308A">
        <w:rPr>
          <w:rFonts w:cstheme="minorHAnsi"/>
          <w:sz w:val="24"/>
          <w:szCs w:val="24"/>
        </w:rPr>
        <w:t xml:space="preserve"> źródłach energii;</w:t>
      </w:r>
    </w:p>
    <w:p w14:paraId="1D772FB8" w14:textId="77777777" w:rsidR="00BA7C34" w:rsidRPr="00D6308A" w:rsidRDefault="00BA7C34" w:rsidP="00941ED8">
      <w:pPr>
        <w:pStyle w:val="Akapitzlist"/>
        <w:numPr>
          <w:ilvl w:val="1"/>
          <w:numId w:val="8"/>
        </w:numPr>
        <w:spacing w:after="120" w:line="276" w:lineRule="auto"/>
        <w:ind w:left="1434" w:hanging="357"/>
        <w:rPr>
          <w:rFonts w:cstheme="minorHAnsi"/>
          <w:sz w:val="24"/>
          <w:szCs w:val="24"/>
        </w:rPr>
      </w:pPr>
      <w:r w:rsidRPr="00D6308A">
        <w:rPr>
          <w:rFonts w:cstheme="minorHAnsi"/>
          <w:sz w:val="24"/>
          <w:szCs w:val="24"/>
        </w:rPr>
        <w:t>30% kosztów kwalifikowalnych - w przypadku pozostałych inwestycji objętych artykułem 41 rozporządzenia Komisji (UE) nr 651/2014;</w:t>
      </w:r>
    </w:p>
    <w:p w14:paraId="4E21CE5C" w14:textId="21902D86" w:rsidR="00255CDA" w:rsidRPr="00AE31E3" w:rsidRDefault="00BA7C34" w:rsidP="00481499">
      <w:pPr>
        <w:pStyle w:val="Akapitzlist"/>
        <w:numPr>
          <w:ilvl w:val="0"/>
          <w:numId w:val="8"/>
        </w:numPr>
        <w:spacing w:after="120" w:line="276" w:lineRule="auto"/>
        <w:ind w:left="1077" w:hanging="357"/>
        <w:rPr>
          <w:rFonts w:cstheme="minorHAnsi"/>
          <w:sz w:val="24"/>
          <w:szCs w:val="24"/>
        </w:rPr>
      </w:pPr>
      <w:r w:rsidRPr="00D6308A">
        <w:rPr>
          <w:rFonts w:cstheme="minorHAnsi"/>
          <w:sz w:val="24"/>
          <w:szCs w:val="24"/>
        </w:rPr>
        <w:t>40</w:t>
      </w:r>
      <w:r w:rsidRPr="00AE31E3">
        <w:rPr>
          <w:rFonts w:cstheme="minorHAnsi"/>
          <w:sz w:val="24"/>
          <w:szCs w:val="24"/>
        </w:rPr>
        <w:t xml:space="preserve">% </w:t>
      </w:r>
      <w:r w:rsidR="00C12053" w:rsidRPr="00AE31E3">
        <w:rPr>
          <w:rFonts w:cstheme="minorHAnsi"/>
          <w:sz w:val="24"/>
          <w:szCs w:val="24"/>
        </w:rPr>
        <w:t xml:space="preserve">kosztów kwalifikowalnych </w:t>
      </w:r>
      <w:r w:rsidRPr="00AE31E3">
        <w:rPr>
          <w:rFonts w:cstheme="minorHAnsi"/>
          <w:sz w:val="24"/>
          <w:szCs w:val="24"/>
        </w:rPr>
        <w:t xml:space="preserve">w przypadku pomocy inwestycyjnej na </w:t>
      </w:r>
      <w:r w:rsidRPr="00AE31E3">
        <w:rPr>
          <w:rFonts w:cstheme="minorHAnsi"/>
          <w:b/>
          <w:bCs/>
          <w:sz w:val="24"/>
          <w:szCs w:val="24"/>
        </w:rPr>
        <w:t>efektywne gospodarowanie zasobami i wspieranie przechodzenia na gospodarkę o obiegu zamkniętym</w:t>
      </w:r>
      <w:r w:rsidRPr="00AE31E3">
        <w:rPr>
          <w:rFonts w:cstheme="minorHAnsi"/>
          <w:bCs/>
          <w:sz w:val="24"/>
          <w:szCs w:val="24"/>
        </w:rPr>
        <w:t>;</w:t>
      </w:r>
    </w:p>
    <w:p w14:paraId="4FC2D9CC" w14:textId="6066DAF6" w:rsidR="00BA7C34" w:rsidRPr="00962420" w:rsidRDefault="00BA7C34" w:rsidP="00941ED8">
      <w:pPr>
        <w:pStyle w:val="Akapitzlist"/>
        <w:numPr>
          <w:ilvl w:val="0"/>
          <w:numId w:val="13"/>
        </w:numPr>
        <w:spacing w:before="120" w:after="0" w:line="276" w:lineRule="auto"/>
        <w:ind w:left="714" w:hanging="357"/>
        <w:contextualSpacing w:val="0"/>
        <w:rPr>
          <w:rFonts w:cstheme="minorHAnsi"/>
          <w:sz w:val="24"/>
          <w:szCs w:val="24"/>
        </w:rPr>
      </w:pPr>
      <w:r w:rsidRPr="00962420">
        <w:rPr>
          <w:rFonts w:cstheme="minorHAnsi"/>
          <w:sz w:val="24"/>
          <w:szCs w:val="24"/>
        </w:rPr>
        <w:t xml:space="preserve">Dla rodzajów pomocy </w:t>
      </w:r>
      <w:r w:rsidRPr="00CD0DD4">
        <w:rPr>
          <w:rFonts w:cstheme="minorHAnsi"/>
          <w:sz w:val="24"/>
          <w:szCs w:val="24"/>
        </w:rPr>
        <w:t>wymienionych w lit</w:t>
      </w:r>
      <w:r w:rsidR="00C12053">
        <w:rPr>
          <w:rFonts w:cstheme="minorHAnsi"/>
          <w:sz w:val="24"/>
          <w:szCs w:val="24"/>
        </w:rPr>
        <w:t>erach</w:t>
      </w:r>
      <w:r w:rsidRPr="00CD0DD4">
        <w:rPr>
          <w:rFonts w:cstheme="minorHAnsi"/>
          <w:sz w:val="24"/>
          <w:szCs w:val="24"/>
        </w:rPr>
        <w:t xml:space="preserve"> </w:t>
      </w:r>
      <w:r w:rsidR="00CD0DD4" w:rsidRPr="00753895">
        <w:rPr>
          <w:rFonts w:cstheme="minorHAnsi"/>
          <w:sz w:val="24"/>
          <w:szCs w:val="24"/>
        </w:rPr>
        <w:t>a</w:t>
      </w:r>
      <w:r w:rsidRPr="00CD0DD4">
        <w:rPr>
          <w:rFonts w:cstheme="minorHAnsi"/>
          <w:sz w:val="24"/>
          <w:szCs w:val="24"/>
        </w:rPr>
        <w:t xml:space="preserve">), </w:t>
      </w:r>
      <w:r w:rsidR="00CD0DD4" w:rsidRPr="00753895">
        <w:rPr>
          <w:rFonts w:cstheme="minorHAnsi"/>
          <w:sz w:val="24"/>
          <w:szCs w:val="24"/>
        </w:rPr>
        <w:t>b</w:t>
      </w:r>
      <w:r w:rsidRPr="00CD0DD4">
        <w:rPr>
          <w:rFonts w:cstheme="minorHAnsi"/>
          <w:sz w:val="24"/>
          <w:szCs w:val="24"/>
        </w:rPr>
        <w:t xml:space="preserve">), </w:t>
      </w:r>
      <w:r w:rsidR="00CD0DD4" w:rsidRPr="00753895">
        <w:rPr>
          <w:rFonts w:cstheme="minorHAnsi"/>
          <w:sz w:val="24"/>
          <w:szCs w:val="24"/>
        </w:rPr>
        <w:t>c</w:t>
      </w:r>
      <w:r w:rsidRPr="00CD0DD4">
        <w:rPr>
          <w:rFonts w:cstheme="minorHAnsi"/>
          <w:sz w:val="24"/>
          <w:szCs w:val="24"/>
        </w:rPr>
        <w:t xml:space="preserve">)  </w:t>
      </w:r>
      <w:r w:rsidR="00CD0DD4" w:rsidRPr="00753895">
        <w:rPr>
          <w:rFonts w:cstheme="minorHAnsi"/>
          <w:sz w:val="24"/>
          <w:szCs w:val="24"/>
        </w:rPr>
        <w:t>d</w:t>
      </w:r>
      <w:r w:rsidRPr="00CD0DD4">
        <w:rPr>
          <w:rFonts w:cstheme="minorHAnsi"/>
          <w:sz w:val="24"/>
          <w:szCs w:val="24"/>
        </w:rPr>
        <w:t xml:space="preserve">), </w:t>
      </w:r>
      <w:r w:rsidR="00CD0DD4" w:rsidRPr="00753895">
        <w:rPr>
          <w:rFonts w:cstheme="minorHAnsi"/>
          <w:sz w:val="24"/>
          <w:szCs w:val="24"/>
        </w:rPr>
        <w:t>e</w:t>
      </w:r>
      <w:r w:rsidRPr="00CD0DD4">
        <w:rPr>
          <w:rFonts w:cstheme="minorHAnsi"/>
          <w:sz w:val="24"/>
          <w:szCs w:val="24"/>
        </w:rPr>
        <w:t>) intensyw</w:t>
      </w:r>
      <w:r w:rsidRPr="00962420">
        <w:rPr>
          <w:rFonts w:cstheme="minorHAnsi"/>
          <w:sz w:val="24"/>
          <w:szCs w:val="24"/>
        </w:rPr>
        <w:t xml:space="preserve">ność może zostać </w:t>
      </w:r>
      <w:r w:rsidRPr="00962420">
        <w:rPr>
          <w:rFonts w:cstheme="minorHAnsi"/>
          <w:b/>
          <w:bCs/>
          <w:sz w:val="24"/>
          <w:szCs w:val="24"/>
          <w:u w:val="single"/>
        </w:rPr>
        <w:t>zwiększona o:</w:t>
      </w:r>
    </w:p>
    <w:p w14:paraId="3300C740" w14:textId="066F26A1" w:rsidR="00DB4B2D" w:rsidRDefault="00BA7C34" w:rsidP="00321E3F">
      <w:pPr>
        <w:pStyle w:val="Akapitzlist"/>
        <w:numPr>
          <w:ilvl w:val="0"/>
          <w:numId w:val="17"/>
        </w:numPr>
        <w:spacing w:after="120" w:line="276" w:lineRule="auto"/>
        <w:rPr>
          <w:rFonts w:cstheme="minorHAnsi"/>
          <w:sz w:val="24"/>
          <w:szCs w:val="24"/>
        </w:rPr>
      </w:pPr>
      <w:r w:rsidRPr="00990D4E">
        <w:rPr>
          <w:rFonts w:cstheme="minorHAnsi"/>
          <w:sz w:val="24"/>
          <w:szCs w:val="24"/>
        </w:rPr>
        <w:t>10 punktów procentowych - dla średnich przedsiębiorców</w:t>
      </w:r>
      <w:r w:rsidR="00DB4B2D">
        <w:rPr>
          <w:rFonts w:cstheme="minorHAnsi"/>
          <w:sz w:val="24"/>
          <w:szCs w:val="24"/>
        </w:rPr>
        <w:t>,</w:t>
      </w:r>
    </w:p>
    <w:p w14:paraId="2742FB26" w14:textId="0950F7EC" w:rsidR="00DB4B2D" w:rsidRDefault="00DB4B2D" w:rsidP="00DB4B2D">
      <w:pPr>
        <w:pStyle w:val="Akapitzlist"/>
        <w:numPr>
          <w:ilvl w:val="0"/>
          <w:numId w:val="17"/>
        </w:numPr>
        <w:spacing w:after="120" w:line="276" w:lineRule="auto"/>
        <w:rPr>
          <w:rFonts w:cstheme="minorHAnsi"/>
          <w:sz w:val="24"/>
          <w:szCs w:val="24"/>
        </w:rPr>
      </w:pPr>
      <w:r>
        <w:rPr>
          <w:rFonts w:cstheme="minorHAnsi"/>
          <w:sz w:val="24"/>
          <w:szCs w:val="24"/>
        </w:rPr>
        <w:t>20 punktów procentowych – dla mikro i małych przedsiębiorców.</w:t>
      </w:r>
    </w:p>
    <w:p w14:paraId="6D7783CE" w14:textId="25530376" w:rsidR="00BA7C34" w:rsidRPr="00481499" w:rsidRDefault="00BA7C34" w:rsidP="00481499">
      <w:pPr>
        <w:pStyle w:val="Akapitzlist"/>
        <w:numPr>
          <w:ilvl w:val="0"/>
          <w:numId w:val="13"/>
        </w:numPr>
        <w:rPr>
          <w:rFonts w:cstheme="minorHAnsi"/>
          <w:sz w:val="24"/>
          <w:szCs w:val="24"/>
        </w:rPr>
      </w:pPr>
      <w:r w:rsidRPr="00481499">
        <w:rPr>
          <w:rFonts w:cstheme="minorHAnsi"/>
          <w:sz w:val="24"/>
          <w:szCs w:val="24"/>
        </w:rPr>
        <w:t xml:space="preserve">Dodatkowo dla rodzajów pomocy wymienionych w </w:t>
      </w:r>
      <w:r w:rsidR="00C12053" w:rsidRPr="00481499">
        <w:rPr>
          <w:rFonts w:cstheme="minorHAnsi"/>
          <w:sz w:val="24"/>
          <w:szCs w:val="24"/>
        </w:rPr>
        <w:t>liter</w:t>
      </w:r>
      <w:r w:rsidR="00C12053">
        <w:rPr>
          <w:rFonts w:cstheme="minorHAnsi"/>
          <w:sz w:val="24"/>
          <w:szCs w:val="24"/>
        </w:rPr>
        <w:t>ach</w:t>
      </w:r>
      <w:r w:rsidR="00C12053" w:rsidRPr="00481499">
        <w:rPr>
          <w:rFonts w:cstheme="minorHAnsi"/>
          <w:sz w:val="24"/>
          <w:szCs w:val="24"/>
        </w:rPr>
        <w:t xml:space="preserve"> </w:t>
      </w:r>
      <w:r w:rsidR="00CD0DD4" w:rsidRPr="00481499">
        <w:rPr>
          <w:rFonts w:cstheme="minorHAnsi"/>
          <w:sz w:val="24"/>
          <w:szCs w:val="24"/>
        </w:rPr>
        <w:t>a</w:t>
      </w:r>
      <w:r w:rsidRPr="00481499">
        <w:rPr>
          <w:rFonts w:cstheme="minorHAnsi"/>
          <w:sz w:val="24"/>
          <w:szCs w:val="24"/>
        </w:rPr>
        <w:t xml:space="preserve">), </w:t>
      </w:r>
      <w:r w:rsidR="00CD0DD4" w:rsidRPr="00481499">
        <w:rPr>
          <w:rFonts w:cstheme="minorHAnsi"/>
          <w:sz w:val="24"/>
          <w:szCs w:val="24"/>
        </w:rPr>
        <w:t>b</w:t>
      </w:r>
      <w:r w:rsidRPr="00481499">
        <w:rPr>
          <w:rFonts w:cstheme="minorHAnsi"/>
          <w:sz w:val="24"/>
          <w:szCs w:val="24"/>
        </w:rPr>
        <w:t xml:space="preserve">), </w:t>
      </w:r>
      <w:r w:rsidR="00CD0DD4" w:rsidRPr="00481499">
        <w:rPr>
          <w:rFonts w:cstheme="minorHAnsi"/>
          <w:sz w:val="24"/>
          <w:szCs w:val="24"/>
        </w:rPr>
        <w:t>c</w:t>
      </w:r>
      <w:r w:rsidRPr="00481499">
        <w:rPr>
          <w:rFonts w:cstheme="minorHAnsi"/>
          <w:sz w:val="24"/>
          <w:szCs w:val="24"/>
        </w:rPr>
        <w:t xml:space="preserve">), </w:t>
      </w:r>
      <w:r w:rsidR="00CD0DD4" w:rsidRPr="00481499">
        <w:rPr>
          <w:rFonts w:cstheme="minorHAnsi"/>
          <w:sz w:val="24"/>
          <w:szCs w:val="24"/>
        </w:rPr>
        <w:t>e</w:t>
      </w:r>
      <w:r w:rsidRPr="00481499">
        <w:rPr>
          <w:rFonts w:cstheme="minorHAnsi"/>
          <w:sz w:val="24"/>
          <w:szCs w:val="24"/>
        </w:rPr>
        <w:t xml:space="preserve">) intensywność może zostać </w:t>
      </w:r>
      <w:r w:rsidRPr="00481499">
        <w:rPr>
          <w:rFonts w:cstheme="minorHAnsi"/>
          <w:b/>
          <w:bCs/>
          <w:sz w:val="24"/>
          <w:szCs w:val="24"/>
        </w:rPr>
        <w:t>zwiększona o:</w:t>
      </w:r>
    </w:p>
    <w:p w14:paraId="1D086EFF" w14:textId="77777777" w:rsidR="00BA7C34" w:rsidRPr="00962420" w:rsidRDefault="00BA7C34" w:rsidP="00941ED8">
      <w:pPr>
        <w:pStyle w:val="Akapitzlist"/>
        <w:numPr>
          <w:ilvl w:val="0"/>
          <w:numId w:val="18"/>
        </w:numPr>
        <w:spacing w:after="120" w:line="276" w:lineRule="auto"/>
        <w:rPr>
          <w:rFonts w:cstheme="minorHAnsi"/>
          <w:sz w:val="24"/>
          <w:szCs w:val="24"/>
        </w:rPr>
      </w:pPr>
      <w:r w:rsidRPr="00962420">
        <w:rPr>
          <w:rFonts w:cstheme="minorHAnsi"/>
          <w:sz w:val="24"/>
          <w:szCs w:val="24"/>
        </w:rPr>
        <w:t>5 punktów procentowych - dla inwestycji usytuowanych na obszarze województw dolnośląskiego i wielkopolskiego, a także następujących gmin regionu warszawskiego stołecznego: Baranów, Błonie, Dąbrówka, Dobre, Góra Kalwaria, Grodzisk Mazowiecki, Jadów, Jaktorów, Kałuszyn, Kampinos, Kołbiel, Latowicz, Leoncin, Leszno, Mrozy, Nasielsk, Osieck, Prażmów, Serock, Siennica, Sobienie-Jeziory, Strachówka, Tarczyn, Tłuszcz, Zakroczym i Żabia Wola</w:t>
      </w:r>
      <w:r w:rsidRPr="00962420">
        <w:rPr>
          <w:rFonts w:cstheme="minorHAnsi"/>
          <w:b/>
          <w:bCs/>
          <w:sz w:val="24"/>
          <w:szCs w:val="24"/>
        </w:rPr>
        <w:t>,</w:t>
      </w:r>
      <w:r w:rsidRPr="00962420">
        <w:rPr>
          <w:rFonts w:cstheme="minorHAnsi"/>
          <w:sz w:val="24"/>
          <w:szCs w:val="24"/>
        </w:rPr>
        <w:t xml:space="preserve"> </w:t>
      </w:r>
    </w:p>
    <w:p w14:paraId="6796FB89" w14:textId="77777777" w:rsidR="00BA7C34" w:rsidRPr="00962420" w:rsidRDefault="00BA7C34" w:rsidP="00941ED8">
      <w:pPr>
        <w:pStyle w:val="Akapitzlist"/>
        <w:numPr>
          <w:ilvl w:val="0"/>
          <w:numId w:val="18"/>
        </w:numPr>
        <w:spacing w:after="120" w:line="276" w:lineRule="auto"/>
        <w:rPr>
          <w:rFonts w:cstheme="minorHAnsi"/>
          <w:sz w:val="24"/>
          <w:szCs w:val="24"/>
        </w:rPr>
      </w:pPr>
      <w:r w:rsidRPr="00962420">
        <w:rPr>
          <w:rFonts w:cstheme="minorHAnsi"/>
          <w:sz w:val="24"/>
          <w:szCs w:val="24"/>
        </w:rPr>
        <w:t>15 punktów procentowych - dla inwestycji usytuowanych na obszarze województw: kujawsko-pomorskiego, lubelskiego, lubuskiego, łódzkiego, małopolskiego, opolskiego, podkarpackiego, podlaskiego, pomorskiego, śląskiego, świętokrzyskiego, warmińsko-mazurskiego lub zachodniopomorskiego i regionu mazowieckiego regionalnego</w:t>
      </w:r>
      <w:r w:rsidRPr="00962420">
        <w:rPr>
          <w:rFonts w:cstheme="minorHAnsi"/>
          <w:b/>
          <w:bCs/>
          <w:sz w:val="24"/>
          <w:szCs w:val="24"/>
        </w:rPr>
        <w:t>.</w:t>
      </w:r>
    </w:p>
    <w:p w14:paraId="263C9AE0" w14:textId="77777777" w:rsidR="00BA7C34" w:rsidRDefault="00BA7C34" w:rsidP="00BA7C34">
      <w:pPr>
        <w:spacing w:after="120" w:line="276" w:lineRule="auto"/>
        <w:ind w:left="357"/>
        <w:rPr>
          <w:rFonts w:eastAsia="Calibri" w:cstheme="minorHAnsi"/>
          <w:b/>
          <w:bCs/>
          <w:sz w:val="24"/>
          <w:szCs w:val="24"/>
        </w:rPr>
      </w:pPr>
      <w:r w:rsidRPr="00762814">
        <w:rPr>
          <w:rFonts w:eastAsia="Calibri" w:cstheme="minorHAnsi"/>
          <w:b/>
          <w:bCs/>
          <w:sz w:val="24"/>
          <w:szCs w:val="24"/>
        </w:rPr>
        <w:t>Projekty realizowane na obszarach gmin regionu warszawskiego stołecznego, innych niż wskazane powyżej, nie kwalifikują się w ogóle do zwiększenia intensywności pomocy związanej z lokalizacją inwestycji.</w:t>
      </w:r>
    </w:p>
    <w:p w14:paraId="7E0E509F" w14:textId="77777777" w:rsidR="00BA7C34" w:rsidRPr="00A31920" w:rsidRDefault="00BA7C34" w:rsidP="00941ED8">
      <w:pPr>
        <w:pStyle w:val="Akapitzlist"/>
        <w:numPr>
          <w:ilvl w:val="0"/>
          <w:numId w:val="13"/>
        </w:numPr>
        <w:spacing w:after="120" w:line="276" w:lineRule="auto"/>
        <w:ind w:left="714" w:hanging="357"/>
        <w:rPr>
          <w:rFonts w:eastAsia="Calibri" w:cstheme="minorHAnsi"/>
          <w:bCs/>
          <w:sz w:val="24"/>
          <w:szCs w:val="24"/>
        </w:rPr>
      </w:pPr>
      <w:r w:rsidRPr="00A31920">
        <w:rPr>
          <w:rFonts w:eastAsia="Calibri" w:cstheme="minorHAnsi"/>
          <w:bCs/>
          <w:sz w:val="24"/>
          <w:szCs w:val="24"/>
        </w:rPr>
        <w:lastRenderedPageBreak/>
        <w:t>Ponadto dla pomocy wymienionej:</w:t>
      </w:r>
    </w:p>
    <w:p w14:paraId="0637EE62" w14:textId="7018803D" w:rsidR="00BA7C34" w:rsidRPr="00B44F6D" w:rsidRDefault="00BA7C34" w:rsidP="00941ED8">
      <w:pPr>
        <w:pStyle w:val="Akapitzlist"/>
        <w:numPr>
          <w:ilvl w:val="1"/>
          <w:numId w:val="19"/>
        </w:numPr>
        <w:spacing w:after="120" w:line="276" w:lineRule="auto"/>
        <w:ind w:left="1077" w:hanging="357"/>
        <w:rPr>
          <w:rFonts w:eastAsia="Calibri" w:cstheme="minorHAnsi"/>
          <w:b/>
          <w:bCs/>
          <w:sz w:val="24"/>
          <w:szCs w:val="24"/>
        </w:rPr>
      </w:pPr>
      <w:r w:rsidRPr="00CD0DD4">
        <w:rPr>
          <w:rFonts w:eastAsia="Calibri" w:cstheme="minorHAnsi"/>
          <w:bCs/>
          <w:sz w:val="24"/>
          <w:szCs w:val="24"/>
        </w:rPr>
        <w:t xml:space="preserve">w </w:t>
      </w:r>
      <w:r w:rsidR="00894C7C">
        <w:rPr>
          <w:rFonts w:eastAsia="Calibri" w:cstheme="minorHAnsi"/>
          <w:bCs/>
          <w:sz w:val="24"/>
          <w:szCs w:val="24"/>
        </w:rPr>
        <w:t xml:space="preserve">pkt 1 </w:t>
      </w:r>
      <w:r w:rsidRPr="00CD0DD4">
        <w:rPr>
          <w:rFonts w:eastAsia="Calibri" w:cstheme="minorHAnsi"/>
          <w:bCs/>
          <w:sz w:val="24"/>
          <w:szCs w:val="24"/>
        </w:rPr>
        <w:t xml:space="preserve">lit. </w:t>
      </w:r>
      <w:r w:rsidR="00CD0DD4" w:rsidRPr="00753895">
        <w:rPr>
          <w:rFonts w:eastAsia="Calibri" w:cstheme="minorHAnsi"/>
          <w:bCs/>
          <w:sz w:val="24"/>
          <w:szCs w:val="24"/>
        </w:rPr>
        <w:t>c</w:t>
      </w:r>
      <w:r w:rsidRPr="00CD0DD4">
        <w:rPr>
          <w:rFonts w:eastAsia="Calibri" w:cstheme="minorHAnsi"/>
          <w:bCs/>
          <w:sz w:val="24"/>
          <w:szCs w:val="24"/>
        </w:rPr>
        <w:t>)  intensywność</w:t>
      </w:r>
      <w:r w:rsidRPr="006C50AC">
        <w:rPr>
          <w:rFonts w:eastAsia="Calibri" w:cstheme="minorHAnsi"/>
          <w:bCs/>
          <w:sz w:val="24"/>
          <w:szCs w:val="24"/>
        </w:rPr>
        <w:t xml:space="preserve"> może zostać</w:t>
      </w:r>
      <w:r w:rsidRPr="00A31920">
        <w:rPr>
          <w:rFonts w:eastAsia="Calibri" w:cstheme="minorHAnsi"/>
          <w:b/>
          <w:bCs/>
          <w:sz w:val="24"/>
          <w:szCs w:val="24"/>
        </w:rPr>
        <w:t xml:space="preserve"> zwiększona o</w:t>
      </w:r>
      <w:r>
        <w:rPr>
          <w:rFonts w:eastAsia="Calibri" w:cstheme="minorHAnsi"/>
          <w:b/>
          <w:bCs/>
          <w:sz w:val="24"/>
          <w:szCs w:val="24"/>
        </w:rPr>
        <w:t xml:space="preserve"> </w:t>
      </w:r>
      <w:r w:rsidRPr="00A31920">
        <w:rPr>
          <w:rFonts w:eastAsia="Calibri" w:cstheme="minorHAnsi"/>
          <w:sz w:val="24"/>
          <w:szCs w:val="24"/>
        </w:rPr>
        <w:t xml:space="preserve">15 punktów procentowych – w przypadku gdy inwestycja dotyczy poprawy efektywności energetycznej istniejących budynków prowadzącej do zmniejszenia zapotrzebowania na energię </w:t>
      </w:r>
      <w:r w:rsidRPr="00B44F6D">
        <w:rPr>
          <w:rFonts w:eastAsia="Calibri" w:cstheme="minorHAnsi"/>
          <w:sz w:val="24"/>
          <w:szCs w:val="24"/>
        </w:rPr>
        <w:t>pierwotną o co najmniej 40 % w porównaniu z sytuacją sprzed inwestycji</w:t>
      </w:r>
      <w:r w:rsidRPr="00B44F6D">
        <w:rPr>
          <w:rStyle w:val="Odwoanieprzypisudolnego"/>
          <w:rFonts w:eastAsia="Calibri" w:cstheme="minorHAnsi"/>
          <w:sz w:val="24"/>
          <w:szCs w:val="24"/>
        </w:rPr>
        <w:footnoteReference w:id="11"/>
      </w:r>
      <w:r w:rsidRPr="00B44F6D">
        <w:rPr>
          <w:rFonts w:eastAsia="Calibri" w:cstheme="minorHAnsi"/>
          <w:sz w:val="24"/>
          <w:szCs w:val="24"/>
        </w:rPr>
        <w:t>.</w:t>
      </w:r>
    </w:p>
    <w:p w14:paraId="438E235A" w14:textId="4D831BF8" w:rsidR="00BA7C34" w:rsidRPr="00A07610" w:rsidRDefault="00BA7C34" w:rsidP="00BA7C34">
      <w:pPr>
        <w:spacing w:after="120" w:line="276" w:lineRule="auto"/>
        <w:ind w:left="720"/>
        <w:rPr>
          <w:rFonts w:eastAsia="Calibri" w:cstheme="minorHAnsi"/>
          <w:bCs/>
          <w:sz w:val="24"/>
          <w:szCs w:val="24"/>
        </w:rPr>
      </w:pPr>
      <w:r w:rsidRPr="00B44F6D">
        <w:rPr>
          <w:rFonts w:eastAsia="Calibri" w:cstheme="minorHAnsi"/>
          <w:bCs/>
          <w:sz w:val="24"/>
          <w:szCs w:val="24"/>
        </w:rPr>
        <w:t xml:space="preserve">Intensywność wsparcia w poszczególnych regionach i dla poszczególnych kategorii przedsiębiorców w zakresie pomocy na ochronę środowiska (lit. </w:t>
      </w:r>
      <w:r w:rsidR="000F1286" w:rsidRPr="00753895">
        <w:rPr>
          <w:rFonts w:eastAsia="Calibri" w:cstheme="minorHAnsi"/>
          <w:bCs/>
          <w:sz w:val="24"/>
          <w:szCs w:val="24"/>
        </w:rPr>
        <w:t>a</w:t>
      </w:r>
      <w:r w:rsidRPr="00B44F6D">
        <w:rPr>
          <w:rFonts w:eastAsia="Calibri" w:cstheme="minorHAnsi"/>
          <w:bCs/>
          <w:sz w:val="24"/>
          <w:szCs w:val="24"/>
        </w:rPr>
        <w:t xml:space="preserve"> - </w:t>
      </w:r>
      <w:r w:rsidR="000F1286" w:rsidRPr="00753895">
        <w:rPr>
          <w:rFonts w:eastAsia="Calibri" w:cstheme="minorHAnsi"/>
          <w:bCs/>
          <w:sz w:val="24"/>
          <w:szCs w:val="24"/>
        </w:rPr>
        <w:t>e</w:t>
      </w:r>
      <w:r w:rsidRPr="00B44F6D">
        <w:rPr>
          <w:rFonts w:eastAsia="Calibri" w:cstheme="minorHAnsi"/>
          <w:bCs/>
          <w:sz w:val="24"/>
          <w:szCs w:val="24"/>
        </w:rPr>
        <w:t xml:space="preserve">) została przedstawiona w Tabeli nr </w:t>
      </w:r>
      <w:r w:rsidR="00B44F6D" w:rsidRPr="00753895">
        <w:rPr>
          <w:rFonts w:eastAsia="Calibri" w:cstheme="minorHAnsi"/>
          <w:bCs/>
          <w:sz w:val="24"/>
          <w:szCs w:val="24"/>
        </w:rPr>
        <w:t>2</w:t>
      </w:r>
      <w:r w:rsidRPr="00B44F6D">
        <w:rPr>
          <w:rFonts w:eastAsia="Calibri" w:cstheme="minorHAnsi"/>
          <w:bCs/>
          <w:sz w:val="24"/>
          <w:szCs w:val="24"/>
        </w:rPr>
        <w:t>.</w:t>
      </w:r>
    </w:p>
    <w:p w14:paraId="66D3E22E" w14:textId="7CB89849" w:rsidR="004826AB" w:rsidRDefault="00BA7C34" w:rsidP="00151815">
      <w:pPr>
        <w:pStyle w:val="Nagwek3"/>
        <w:spacing w:before="240" w:line="276" w:lineRule="auto"/>
      </w:pPr>
      <w:bookmarkStart w:id="537" w:name="_Toc202174414"/>
      <w:r w:rsidRPr="00930477">
        <w:rPr>
          <w:rFonts w:asciiTheme="minorHAnsi" w:hAnsiTheme="minorHAnsi" w:cstheme="minorHAnsi"/>
          <w:color w:val="auto"/>
          <w:sz w:val="32"/>
        </w:rPr>
        <w:t xml:space="preserve">7.3 Kategorie wydatków kwalifikowalnych </w:t>
      </w:r>
      <w:r w:rsidR="00962420">
        <w:rPr>
          <w:rFonts w:asciiTheme="minorHAnsi" w:hAnsiTheme="minorHAnsi" w:cstheme="minorHAnsi"/>
          <w:color w:val="auto"/>
          <w:sz w:val="32"/>
        </w:rPr>
        <w:t>na ochronę środowiska</w:t>
      </w:r>
      <w:bookmarkEnd w:id="537"/>
    </w:p>
    <w:p w14:paraId="0A35D7AC" w14:textId="62F3C1B4" w:rsidR="00697EC4" w:rsidRPr="00151815" w:rsidRDefault="00697EC4" w:rsidP="00151815">
      <w:pPr>
        <w:pStyle w:val="Nagwek4"/>
        <w:spacing w:before="120" w:line="276" w:lineRule="auto"/>
        <w:ind w:left="567" w:hanging="567"/>
        <w:rPr>
          <w:rFonts w:cstheme="minorHAnsi"/>
          <w:sz w:val="28"/>
          <w:szCs w:val="28"/>
        </w:rPr>
      </w:pPr>
      <w:bookmarkStart w:id="538" w:name="_Toc202174415"/>
      <w:r>
        <w:rPr>
          <w:rFonts w:asciiTheme="minorHAnsi" w:hAnsiTheme="minorHAnsi" w:cstheme="minorHAnsi"/>
          <w:i w:val="0"/>
          <w:color w:val="auto"/>
          <w:sz w:val="28"/>
          <w:szCs w:val="28"/>
        </w:rPr>
        <w:t xml:space="preserve">7.3.1 Ochrona środowiska, </w:t>
      </w:r>
      <w:r w:rsidRPr="00A8540D">
        <w:rPr>
          <w:rFonts w:asciiTheme="minorHAnsi" w:hAnsiTheme="minorHAnsi" w:cstheme="minorHAnsi"/>
          <w:i w:val="0"/>
          <w:color w:val="auto"/>
          <w:sz w:val="28"/>
          <w:szCs w:val="28"/>
        </w:rPr>
        <w:t>w tym obniżenie emisyjności</w:t>
      </w:r>
      <w:bookmarkEnd w:id="538"/>
      <w:r>
        <w:rPr>
          <w:rFonts w:asciiTheme="minorHAnsi" w:hAnsiTheme="minorHAnsi" w:cstheme="minorHAnsi"/>
          <w:i w:val="0"/>
          <w:color w:val="auto"/>
          <w:sz w:val="28"/>
          <w:szCs w:val="28"/>
        </w:rPr>
        <w:t xml:space="preserve"> </w:t>
      </w:r>
    </w:p>
    <w:p w14:paraId="5B0FC27D" w14:textId="0CB6DC32" w:rsidR="00BA7C34" w:rsidRPr="000E7E9C" w:rsidRDefault="00BA7C34" w:rsidP="006718AF">
      <w:pPr>
        <w:spacing w:before="120" w:after="120" w:line="276" w:lineRule="auto"/>
        <w:rPr>
          <w:rFonts w:eastAsia="Calibri" w:cstheme="minorHAnsi"/>
          <w:sz w:val="24"/>
          <w:szCs w:val="24"/>
        </w:rPr>
      </w:pPr>
      <w:r w:rsidRPr="000E7E9C">
        <w:rPr>
          <w:rFonts w:eastAsia="Calibri" w:cstheme="minorHAnsi"/>
          <w:bCs/>
          <w:sz w:val="24"/>
          <w:szCs w:val="24"/>
        </w:rPr>
        <w:t>W ramach</w:t>
      </w:r>
      <w:r w:rsidRPr="000E7E9C">
        <w:rPr>
          <w:rFonts w:eastAsia="Calibri" w:cstheme="minorHAnsi"/>
          <w:b/>
          <w:bCs/>
          <w:sz w:val="24"/>
          <w:szCs w:val="24"/>
        </w:rPr>
        <w:t xml:space="preserve"> pomocy </w:t>
      </w:r>
      <w:r w:rsidRPr="000E7E9C">
        <w:rPr>
          <w:rFonts w:eastAsia="Calibri" w:cstheme="minorHAnsi"/>
          <w:b/>
          <w:sz w:val="24"/>
          <w:szCs w:val="24"/>
        </w:rPr>
        <w:t xml:space="preserve">inwestycyjnej na ochronę środowiska, w tym obniżenie emisyjności (art. 36 rozporządzenia Komisji (UE) nr 651/2014) </w:t>
      </w:r>
      <w:r w:rsidRPr="000E7E9C">
        <w:rPr>
          <w:rFonts w:eastAsia="Calibri" w:cstheme="minorHAnsi"/>
          <w:sz w:val="24"/>
          <w:szCs w:val="24"/>
        </w:rPr>
        <w:t xml:space="preserve">kwalifikowalne są koszty wymienione w pkt </w:t>
      </w:r>
      <w:r w:rsidR="00532394">
        <w:rPr>
          <w:rFonts w:eastAsia="Calibri" w:cstheme="minorHAnsi"/>
          <w:sz w:val="24"/>
          <w:szCs w:val="24"/>
        </w:rPr>
        <w:t>1</w:t>
      </w:r>
      <w:r w:rsidR="00697EC4" w:rsidRPr="00151815">
        <w:rPr>
          <w:rFonts w:eastAsia="Calibri" w:cstheme="minorHAnsi"/>
          <w:sz w:val="24"/>
          <w:szCs w:val="24"/>
        </w:rPr>
        <w:t xml:space="preserve"> – </w:t>
      </w:r>
      <w:r w:rsidR="00532394">
        <w:rPr>
          <w:rFonts w:eastAsia="Calibri" w:cstheme="minorHAnsi"/>
          <w:sz w:val="24"/>
          <w:szCs w:val="24"/>
        </w:rPr>
        <w:t>4</w:t>
      </w:r>
      <w:r w:rsidR="00697EC4" w:rsidRPr="00151815">
        <w:rPr>
          <w:rFonts w:eastAsia="Calibri" w:cstheme="minorHAnsi"/>
          <w:sz w:val="24"/>
          <w:szCs w:val="24"/>
        </w:rPr>
        <w:t>.</w:t>
      </w:r>
      <w:r w:rsidRPr="000E7E9C">
        <w:rPr>
          <w:rFonts w:eastAsia="Calibri" w:cstheme="minorHAnsi"/>
          <w:sz w:val="24"/>
          <w:szCs w:val="24"/>
        </w:rPr>
        <w:t xml:space="preserve"> </w:t>
      </w:r>
    </w:p>
    <w:p w14:paraId="06A5213D" w14:textId="77777777" w:rsidR="00BA7C34" w:rsidRPr="000E7E9C" w:rsidRDefault="00BA7C34" w:rsidP="00BA7C34">
      <w:pPr>
        <w:spacing w:after="120" w:line="276" w:lineRule="auto"/>
        <w:rPr>
          <w:rFonts w:eastAsia="Calibri" w:cstheme="minorHAnsi"/>
          <w:sz w:val="24"/>
          <w:szCs w:val="24"/>
        </w:rPr>
      </w:pPr>
      <w:r w:rsidRPr="000E7E9C">
        <w:rPr>
          <w:rFonts w:eastAsia="Calibri" w:cstheme="minorHAnsi"/>
          <w:sz w:val="24"/>
          <w:szCs w:val="24"/>
        </w:rPr>
        <w:t>Normy unijne oznaczają normy, o których mowa w art. 2 ust. 102 rozporządzenia Komisji (UE) nr 651/2014.</w:t>
      </w:r>
    </w:p>
    <w:p w14:paraId="07F8D3E4" w14:textId="77777777" w:rsidR="00BA7C34" w:rsidRPr="00762814" w:rsidRDefault="00BA7C34" w:rsidP="00BA7C34">
      <w:pPr>
        <w:spacing w:after="120" w:line="276" w:lineRule="auto"/>
        <w:rPr>
          <w:rFonts w:eastAsia="Calibri" w:cstheme="minorHAnsi"/>
          <w:sz w:val="24"/>
          <w:szCs w:val="24"/>
        </w:rPr>
      </w:pPr>
      <w:r w:rsidRPr="000E7E9C">
        <w:rPr>
          <w:rFonts w:eastAsia="Calibri" w:cstheme="minorHAnsi"/>
          <w:sz w:val="24"/>
          <w:szCs w:val="24"/>
        </w:rPr>
        <w:t>Wydatków, które nie są bezpośrednio związane z osiągnięciem wyższego poziomu ochrony środowiska, nie uznaje się za kwalifikowalne.</w:t>
      </w:r>
    </w:p>
    <w:p w14:paraId="6FE5842D" w14:textId="24A17252" w:rsidR="00BA7C34" w:rsidRPr="00ED6E26" w:rsidRDefault="00532394" w:rsidP="00BA7C34">
      <w:pPr>
        <w:pStyle w:val="Nagwek4"/>
        <w:spacing w:before="120" w:line="276" w:lineRule="auto"/>
        <w:ind w:left="567" w:hanging="567"/>
        <w:rPr>
          <w:rFonts w:asciiTheme="minorHAnsi" w:hAnsiTheme="minorHAnsi" w:cstheme="minorHAnsi"/>
          <w:i w:val="0"/>
          <w:color w:val="auto"/>
          <w:sz w:val="28"/>
          <w:szCs w:val="28"/>
        </w:rPr>
      </w:pPr>
      <w:bookmarkStart w:id="539" w:name="_Toc202174416"/>
      <w:r>
        <w:rPr>
          <w:rFonts w:asciiTheme="minorHAnsi" w:hAnsiTheme="minorHAnsi" w:cstheme="minorHAnsi"/>
          <w:i w:val="0"/>
          <w:color w:val="auto"/>
          <w:sz w:val="28"/>
          <w:szCs w:val="28"/>
        </w:rPr>
        <w:t>1</w:t>
      </w:r>
      <w:r w:rsidR="00697EC4">
        <w:rPr>
          <w:rFonts w:asciiTheme="minorHAnsi" w:hAnsiTheme="minorHAnsi" w:cstheme="minorHAnsi"/>
          <w:i w:val="0"/>
          <w:color w:val="auto"/>
          <w:sz w:val="28"/>
          <w:szCs w:val="28"/>
        </w:rPr>
        <w:t xml:space="preserve">) </w:t>
      </w:r>
      <w:r w:rsidR="00BA7C34">
        <w:rPr>
          <w:rFonts w:asciiTheme="minorHAnsi" w:hAnsiTheme="minorHAnsi" w:cstheme="minorHAnsi"/>
          <w:i w:val="0"/>
          <w:color w:val="auto"/>
          <w:sz w:val="28"/>
          <w:szCs w:val="28"/>
        </w:rPr>
        <w:t xml:space="preserve">Ochrona środowiska, </w:t>
      </w:r>
      <w:r w:rsidR="00BA7C34" w:rsidRPr="00A8540D">
        <w:rPr>
          <w:rFonts w:asciiTheme="minorHAnsi" w:hAnsiTheme="minorHAnsi" w:cstheme="minorHAnsi"/>
          <w:i w:val="0"/>
          <w:color w:val="auto"/>
          <w:sz w:val="28"/>
          <w:szCs w:val="28"/>
        </w:rPr>
        <w:t>w tym obniżenie emisyjności</w:t>
      </w:r>
      <w:r w:rsidR="00BA7C34">
        <w:rPr>
          <w:rFonts w:asciiTheme="minorHAnsi" w:hAnsiTheme="minorHAnsi" w:cstheme="minorHAnsi"/>
          <w:i w:val="0"/>
          <w:color w:val="auto"/>
          <w:sz w:val="28"/>
          <w:szCs w:val="28"/>
        </w:rPr>
        <w:t xml:space="preserve"> - d</w:t>
      </w:r>
      <w:r w:rsidR="00BA7C34" w:rsidRPr="00ED6E26">
        <w:rPr>
          <w:rFonts w:asciiTheme="minorHAnsi" w:hAnsiTheme="minorHAnsi" w:cstheme="minorHAnsi"/>
          <w:i w:val="0"/>
          <w:color w:val="auto"/>
          <w:sz w:val="28"/>
          <w:szCs w:val="28"/>
        </w:rPr>
        <w:t xml:space="preserve">odatkowe </w:t>
      </w:r>
      <w:r w:rsidR="00BA7C34">
        <w:rPr>
          <w:rFonts w:asciiTheme="minorHAnsi" w:hAnsiTheme="minorHAnsi" w:cstheme="minorHAnsi"/>
          <w:i w:val="0"/>
          <w:color w:val="auto"/>
          <w:sz w:val="28"/>
          <w:szCs w:val="28"/>
        </w:rPr>
        <w:t>komponenty w istniejącym zakładzie.</w:t>
      </w:r>
      <w:bookmarkEnd w:id="539"/>
      <w:r w:rsidR="00BA7C34">
        <w:rPr>
          <w:rFonts w:asciiTheme="minorHAnsi" w:hAnsiTheme="minorHAnsi" w:cstheme="minorHAnsi"/>
          <w:i w:val="0"/>
          <w:color w:val="auto"/>
          <w:sz w:val="28"/>
          <w:szCs w:val="28"/>
        </w:rPr>
        <w:t xml:space="preserve"> </w:t>
      </w:r>
    </w:p>
    <w:p w14:paraId="530CB4F2" w14:textId="77777777" w:rsidR="00BA7C34" w:rsidRPr="005D78B7" w:rsidRDefault="00BA7C34" w:rsidP="00BA7C34">
      <w:pPr>
        <w:spacing w:after="120" w:line="276" w:lineRule="auto"/>
        <w:rPr>
          <w:rFonts w:eastAsia="Calibri" w:cstheme="minorHAnsi"/>
          <w:sz w:val="24"/>
          <w:szCs w:val="24"/>
        </w:rPr>
      </w:pPr>
      <w:r w:rsidRPr="005D78B7">
        <w:rPr>
          <w:rFonts w:eastAsia="Calibri" w:cstheme="minorHAnsi"/>
          <w:bCs/>
          <w:sz w:val="24"/>
          <w:szCs w:val="24"/>
        </w:rPr>
        <w:t xml:space="preserve">W ramach tej kategorii </w:t>
      </w:r>
      <w:r w:rsidRPr="005D78B7">
        <w:rPr>
          <w:rFonts w:eastAsia="Calibri" w:cstheme="minorHAnsi"/>
          <w:sz w:val="24"/>
          <w:szCs w:val="24"/>
        </w:rPr>
        <w:t>za koszty kwalifikowalne uznaje się całkowite koszty inwestycji, polegającej na instalacji dodatkowych komponentów w już istniejącym zakładzie, dla której nie istnieje inwestycja alternatywna</w:t>
      </w:r>
      <w:r w:rsidRPr="00753895">
        <w:rPr>
          <w:sz w:val="24"/>
          <w:szCs w:val="24"/>
        </w:rPr>
        <w:t xml:space="preserve"> mniej przyjazna </w:t>
      </w:r>
      <w:r w:rsidRPr="005D78B7">
        <w:rPr>
          <w:rFonts w:eastAsia="Calibri" w:cstheme="minorHAnsi"/>
          <w:sz w:val="24"/>
          <w:szCs w:val="24"/>
        </w:rPr>
        <w:t xml:space="preserve">dla środowiska. </w:t>
      </w:r>
    </w:p>
    <w:p w14:paraId="298698D5" w14:textId="77777777" w:rsidR="00BA7C34" w:rsidRPr="005D78B7" w:rsidRDefault="00BA7C34" w:rsidP="00BA7C34">
      <w:pPr>
        <w:rPr>
          <w:rFonts w:eastAsiaTheme="majorEastAsia" w:cstheme="minorHAnsi"/>
          <w:iCs/>
          <w:sz w:val="24"/>
          <w:szCs w:val="24"/>
        </w:rPr>
      </w:pPr>
      <w:r w:rsidRPr="005D78B7">
        <w:rPr>
          <w:rFonts w:eastAsiaTheme="majorEastAsia" w:cstheme="minorHAnsi"/>
          <w:iCs/>
          <w:sz w:val="24"/>
          <w:szCs w:val="24"/>
        </w:rPr>
        <w:t>Za koszty inwestycji uznaje się koszty nabycia: gruntów; nieruchomości zabudowanych; środków trwałych innych niż nieruchomości; wartości niematerialnych i prawnych lub robót i materiałów budowlanych.</w:t>
      </w:r>
    </w:p>
    <w:p w14:paraId="2BA1F2F4" w14:textId="4A310830" w:rsidR="00BA7C34" w:rsidRDefault="00532394" w:rsidP="00BA7C34">
      <w:pPr>
        <w:pStyle w:val="Nagwek4"/>
        <w:spacing w:before="120" w:line="276" w:lineRule="auto"/>
        <w:ind w:left="567" w:hanging="567"/>
        <w:rPr>
          <w:rFonts w:asciiTheme="minorHAnsi" w:hAnsiTheme="minorHAnsi" w:cstheme="minorHAnsi"/>
          <w:i w:val="0"/>
          <w:color w:val="auto"/>
          <w:sz w:val="28"/>
          <w:szCs w:val="28"/>
        </w:rPr>
      </w:pPr>
      <w:bookmarkStart w:id="540" w:name="_Toc202174417"/>
      <w:r>
        <w:rPr>
          <w:rFonts w:asciiTheme="minorHAnsi" w:hAnsiTheme="minorHAnsi" w:cstheme="minorHAnsi"/>
          <w:i w:val="0"/>
          <w:color w:val="auto"/>
          <w:sz w:val="28"/>
          <w:szCs w:val="28"/>
        </w:rPr>
        <w:t>2</w:t>
      </w:r>
      <w:r w:rsidR="00697EC4">
        <w:rPr>
          <w:rFonts w:asciiTheme="minorHAnsi" w:hAnsiTheme="minorHAnsi" w:cstheme="minorHAnsi"/>
          <w:i w:val="0"/>
          <w:color w:val="auto"/>
          <w:sz w:val="28"/>
          <w:szCs w:val="28"/>
        </w:rPr>
        <w:t>)</w:t>
      </w:r>
      <w:r w:rsidR="00BA7C34" w:rsidRPr="00E879EB">
        <w:rPr>
          <w:rFonts w:asciiTheme="minorHAnsi" w:hAnsiTheme="minorHAnsi" w:cstheme="minorHAnsi"/>
          <w:i w:val="0"/>
          <w:color w:val="auto"/>
          <w:sz w:val="28"/>
          <w:szCs w:val="28"/>
        </w:rPr>
        <w:t xml:space="preserve"> Ochrona środowiska, w tym obniżenie emisyjności - koszty budowy infrastruktury</w:t>
      </w:r>
      <w:r w:rsidR="00BA7C34">
        <w:rPr>
          <w:rFonts w:asciiTheme="minorHAnsi" w:hAnsiTheme="minorHAnsi" w:cstheme="minorHAnsi"/>
          <w:i w:val="0"/>
          <w:color w:val="auto"/>
          <w:sz w:val="28"/>
          <w:szCs w:val="28"/>
        </w:rPr>
        <w:t xml:space="preserve"> dedykowanej.</w:t>
      </w:r>
      <w:bookmarkEnd w:id="540"/>
    </w:p>
    <w:p w14:paraId="7EF250BB" w14:textId="77777777" w:rsidR="00BA7C34" w:rsidRDefault="00BA7C34" w:rsidP="00BA7C34">
      <w:pPr>
        <w:rPr>
          <w:rFonts w:eastAsia="Calibri" w:cstheme="minorHAnsi"/>
          <w:sz w:val="24"/>
          <w:szCs w:val="24"/>
        </w:rPr>
      </w:pPr>
      <w:r>
        <w:rPr>
          <w:rFonts w:eastAsia="Calibri" w:cstheme="minorHAnsi"/>
          <w:sz w:val="24"/>
          <w:szCs w:val="24"/>
        </w:rPr>
        <w:t xml:space="preserve">W ramach tej kategorii za kwalifikowalne uznaje się całkowite koszty </w:t>
      </w:r>
      <w:r w:rsidRPr="00654481">
        <w:rPr>
          <w:rFonts w:eastAsia="Calibri" w:cstheme="minorHAnsi"/>
          <w:sz w:val="24"/>
          <w:szCs w:val="24"/>
        </w:rPr>
        <w:t>inwestycji polegając</w:t>
      </w:r>
      <w:r>
        <w:rPr>
          <w:rFonts w:eastAsia="Calibri" w:cstheme="minorHAnsi"/>
          <w:sz w:val="24"/>
          <w:szCs w:val="24"/>
        </w:rPr>
        <w:t>ej</w:t>
      </w:r>
      <w:r w:rsidRPr="00654481">
        <w:rPr>
          <w:rFonts w:eastAsia="Calibri" w:cstheme="minorHAnsi"/>
          <w:sz w:val="24"/>
          <w:szCs w:val="24"/>
        </w:rPr>
        <w:t xml:space="preserve"> na budowie infrastruktury dedykowanej, o której mowa w art. 2 pkt 130 </w:t>
      </w:r>
      <w:r>
        <w:rPr>
          <w:rFonts w:eastAsia="Calibri" w:cstheme="minorHAnsi"/>
          <w:sz w:val="24"/>
          <w:szCs w:val="24"/>
        </w:rPr>
        <w:t>ostatnie zdanie</w:t>
      </w:r>
      <w:r w:rsidRPr="00654481">
        <w:rPr>
          <w:rFonts w:eastAsia="Calibri" w:cstheme="minorHAnsi"/>
          <w:sz w:val="24"/>
          <w:szCs w:val="24"/>
        </w:rPr>
        <w:t xml:space="preserve"> </w:t>
      </w:r>
      <w:r>
        <w:rPr>
          <w:rFonts w:eastAsia="Calibri" w:cstheme="minorHAnsi"/>
          <w:sz w:val="24"/>
          <w:szCs w:val="24"/>
        </w:rPr>
        <w:t>r</w:t>
      </w:r>
      <w:r w:rsidRPr="00654481">
        <w:rPr>
          <w:rFonts w:eastAsia="Calibri" w:cstheme="minorHAnsi"/>
          <w:sz w:val="24"/>
          <w:szCs w:val="24"/>
        </w:rPr>
        <w:t xml:space="preserve">ozporządzenia </w:t>
      </w:r>
      <w:r>
        <w:rPr>
          <w:rFonts w:eastAsia="Calibri" w:cstheme="minorHAnsi"/>
          <w:sz w:val="24"/>
          <w:szCs w:val="24"/>
        </w:rPr>
        <w:t xml:space="preserve">Komisji (UE) </w:t>
      </w:r>
      <w:r w:rsidRPr="00654481">
        <w:rPr>
          <w:rFonts w:eastAsia="Calibri" w:cstheme="minorHAnsi"/>
          <w:sz w:val="24"/>
          <w:szCs w:val="24"/>
        </w:rPr>
        <w:t>nr 651/2014, dla wodoru</w:t>
      </w:r>
      <w:r>
        <w:rPr>
          <w:rFonts w:eastAsia="Calibri" w:cstheme="minorHAnsi"/>
          <w:sz w:val="24"/>
          <w:szCs w:val="24"/>
        </w:rPr>
        <w:t xml:space="preserve"> odnawialnego</w:t>
      </w:r>
      <w:r w:rsidRPr="00E879EB">
        <w:rPr>
          <w:rFonts w:eastAsia="Calibri" w:cstheme="minorHAnsi"/>
          <w:sz w:val="24"/>
          <w:szCs w:val="24"/>
        </w:rPr>
        <w:t>, ciepła</w:t>
      </w:r>
      <w:r w:rsidRPr="00654481">
        <w:rPr>
          <w:rFonts w:eastAsia="Calibri" w:cstheme="minorHAnsi"/>
          <w:sz w:val="24"/>
          <w:szCs w:val="24"/>
        </w:rPr>
        <w:t xml:space="preserve"> odpadowego lub dwutlenku węgla. </w:t>
      </w:r>
      <w:r>
        <w:rPr>
          <w:rFonts w:eastAsia="Calibri" w:cstheme="minorHAnsi"/>
          <w:sz w:val="24"/>
          <w:szCs w:val="24"/>
        </w:rPr>
        <w:t>Kwalifikowalne są k</w:t>
      </w:r>
      <w:r w:rsidRPr="00654481">
        <w:rPr>
          <w:rFonts w:eastAsia="Calibri" w:cstheme="minorHAnsi"/>
          <w:sz w:val="24"/>
          <w:szCs w:val="24"/>
        </w:rPr>
        <w:t xml:space="preserve">oszty budowy lub modernizacji obiektów do </w:t>
      </w:r>
      <w:r w:rsidRPr="00654481">
        <w:rPr>
          <w:rFonts w:eastAsia="Calibri" w:cstheme="minorHAnsi"/>
          <w:sz w:val="24"/>
          <w:szCs w:val="24"/>
        </w:rPr>
        <w:lastRenderedPageBreak/>
        <w:t>magazynowania</w:t>
      </w:r>
      <w:r>
        <w:rPr>
          <w:rFonts w:eastAsia="Calibri" w:cstheme="minorHAnsi"/>
          <w:sz w:val="24"/>
          <w:szCs w:val="24"/>
        </w:rPr>
        <w:t xml:space="preserve">  </w:t>
      </w:r>
      <w:r w:rsidRPr="00654481">
        <w:rPr>
          <w:rFonts w:eastAsia="Calibri" w:cstheme="minorHAnsi"/>
          <w:sz w:val="24"/>
          <w:szCs w:val="24"/>
        </w:rPr>
        <w:t xml:space="preserve">wodoru odnawialnego i wodoru spełniającego warunki określone w art. 36 ust. 1b akapit drugi rozporządzenia </w:t>
      </w:r>
      <w:r>
        <w:rPr>
          <w:rFonts w:eastAsia="Calibri" w:cstheme="minorHAnsi"/>
          <w:sz w:val="24"/>
          <w:szCs w:val="24"/>
        </w:rPr>
        <w:t xml:space="preserve">Komisji (UE) </w:t>
      </w:r>
      <w:r w:rsidRPr="00654481">
        <w:rPr>
          <w:rFonts w:eastAsia="Calibri" w:cstheme="minorHAnsi"/>
          <w:sz w:val="24"/>
          <w:szCs w:val="24"/>
        </w:rPr>
        <w:t>nr 651/2014</w:t>
      </w:r>
      <w:r>
        <w:rPr>
          <w:rFonts w:eastAsia="Calibri" w:cstheme="minorHAnsi"/>
          <w:sz w:val="24"/>
          <w:szCs w:val="24"/>
        </w:rPr>
        <w:t xml:space="preserve">. </w:t>
      </w:r>
    </w:p>
    <w:p w14:paraId="31100AD3" w14:textId="77777777" w:rsidR="00BA7C34" w:rsidRDefault="00BA7C34" w:rsidP="00BA7C34">
      <w:pPr>
        <w:spacing w:after="120" w:line="276" w:lineRule="auto"/>
        <w:rPr>
          <w:rFonts w:eastAsia="Calibri" w:cstheme="minorHAnsi"/>
          <w:sz w:val="24"/>
          <w:szCs w:val="24"/>
        </w:rPr>
      </w:pPr>
      <w:r w:rsidRPr="00762814">
        <w:rPr>
          <w:rFonts w:eastAsia="Calibri" w:cstheme="minorHAnsi"/>
          <w:sz w:val="24"/>
          <w:szCs w:val="24"/>
        </w:rPr>
        <w:t>Za koszty inwestycji uznaje się koszty nabycia: gruntów; nieruchomości zabudowanych; środków trwałych innych niż nieruchomości; wartości niematerialnych i prawnych lub robót i materiałów budowlanych.</w:t>
      </w:r>
    </w:p>
    <w:p w14:paraId="4F7C01EA" w14:textId="349AD8FF" w:rsidR="00BA7C34" w:rsidRPr="008A311C" w:rsidRDefault="00532394" w:rsidP="00697EC4">
      <w:pPr>
        <w:pStyle w:val="Nagwek4"/>
        <w:spacing w:before="120" w:line="276" w:lineRule="auto"/>
        <w:ind w:left="567" w:hanging="567"/>
        <w:rPr>
          <w:rFonts w:asciiTheme="minorHAnsi" w:hAnsiTheme="minorHAnsi" w:cstheme="minorHAnsi"/>
          <w:i w:val="0"/>
          <w:color w:val="auto"/>
          <w:sz w:val="28"/>
          <w:szCs w:val="28"/>
        </w:rPr>
      </w:pPr>
      <w:bookmarkStart w:id="541" w:name="_Toc202174418"/>
      <w:r>
        <w:rPr>
          <w:rFonts w:asciiTheme="minorHAnsi" w:hAnsiTheme="minorHAnsi" w:cstheme="minorHAnsi"/>
          <w:i w:val="0"/>
          <w:color w:val="auto"/>
          <w:sz w:val="28"/>
          <w:szCs w:val="28"/>
        </w:rPr>
        <w:t>3</w:t>
      </w:r>
      <w:r w:rsidR="00697EC4">
        <w:rPr>
          <w:rFonts w:asciiTheme="minorHAnsi" w:hAnsiTheme="minorHAnsi" w:cstheme="minorHAnsi"/>
          <w:i w:val="0"/>
          <w:color w:val="auto"/>
          <w:sz w:val="28"/>
          <w:szCs w:val="28"/>
        </w:rPr>
        <w:t>)</w:t>
      </w:r>
      <w:r w:rsidR="00697EC4" w:rsidRPr="00E879EB">
        <w:rPr>
          <w:rFonts w:asciiTheme="minorHAnsi" w:hAnsiTheme="minorHAnsi" w:cstheme="minorHAnsi"/>
          <w:i w:val="0"/>
          <w:color w:val="auto"/>
          <w:sz w:val="28"/>
          <w:szCs w:val="28"/>
        </w:rPr>
        <w:t xml:space="preserve"> Ochrona środowiska, w tym obniżenie emisyjności </w:t>
      </w:r>
      <w:r w:rsidR="00697EC4">
        <w:rPr>
          <w:rFonts w:asciiTheme="minorHAnsi" w:hAnsiTheme="minorHAnsi" w:cstheme="minorHAnsi"/>
          <w:i w:val="0"/>
          <w:color w:val="auto"/>
          <w:sz w:val="28"/>
          <w:szCs w:val="28"/>
        </w:rPr>
        <w:t xml:space="preserve">- </w:t>
      </w:r>
      <w:r w:rsidR="00BA7C34" w:rsidRPr="008A311C">
        <w:rPr>
          <w:rFonts w:asciiTheme="minorHAnsi" w:hAnsiTheme="minorHAnsi" w:cstheme="minorHAnsi"/>
          <w:i w:val="0"/>
          <w:color w:val="auto"/>
          <w:sz w:val="28"/>
          <w:szCs w:val="28"/>
        </w:rPr>
        <w:t>całkowite koszty</w:t>
      </w:r>
      <w:r w:rsidR="00697EC4">
        <w:rPr>
          <w:rFonts w:asciiTheme="minorHAnsi" w:hAnsiTheme="minorHAnsi" w:cstheme="minorHAnsi"/>
          <w:i w:val="0"/>
          <w:color w:val="auto"/>
          <w:sz w:val="28"/>
          <w:szCs w:val="28"/>
        </w:rPr>
        <w:t xml:space="preserve"> </w:t>
      </w:r>
      <w:r w:rsidR="00BA7C34" w:rsidRPr="008A311C">
        <w:rPr>
          <w:rFonts w:asciiTheme="minorHAnsi" w:hAnsiTheme="minorHAnsi" w:cstheme="minorHAnsi"/>
          <w:i w:val="0"/>
          <w:color w:val="auto"/>
          <w:sz w:val="28"/>
          <w:szCs w:val="28"/>
        </w:rPr>
        <w:t>inwestycji (obniżona intensywność pomocy)</w:t>
      </w:r>
      <w:bookmarkEnd w:id="541"/>
      <w:r w:rsidR="00BA7C34" w:rsidRPr="008A311C">
        <w:rPr>
          <w:rFonts w:asciiTheme="minorHAnsi" w:hAnsiTheme="minorHAnsi" w:cstheme="minorHAnsi"/>
          <w:i w:val="0"/>
          <w:color w:val="auto"/>
          <w:sz w:val="28"/>
          <w:szCs w:val="28"/>
        </w:rPr>
        <w:t xml:space="preserve"> </w:t>
      </w:r>
    </w:p>
    <w:p w14:paraId="63624FDD" w14:textId="6FA1F4F9" w:rsidR="00BA7C34" w:rsidRDefault="00BA7C34" w:rsidP="00BA7C34">
      <w:pPr>
        <w:spacing w:after="120" w:line="276" w:lineRule="auto"/>
        <w:rPr>
          <w:rFonts w:eastAsia="Calibri" w:cstheme="minorHAnsi"/>
          <w:sz w:val="24"/>
          <w:szCs w:val="24"/>
        </w:rPr>
      </w:pPr>
      <w:r>
        <w:rPr>
          <w:rFonts w:eastAsia="Calibri" w:cstheme="minorHAnsi"/>
          <w:sz w:val="24"/>
          <w:szCs w:val="24"/>
        </w:rPr>
        <w:t xml:space="preserve">W ramach tej kategorii za kwalifikowane </w:t>
      </w:r>
      <w:r w:rsidRPr="001F25E4">
        <w:rPr>
          <w:rFonts w:eastAsia="Calibri" w:cstheme="minorHAnsi"/>
          <w:sz w:val="24"/>
          <w:szCs w:val="24"/>
        </w:rPr>
        <w:t>uznaje się całkowite koszty</w:t>
      </w:r>
      <w:r>
        <w:rPr>
          <w:rFonts w:eastAsia="Calibri" w:cstheme="minorHAnsi"/>
          <w:sz w:val="24"/>
          <w:szCs w:val="24"/>
        </w:rPr>
        <w:t xml:space="preserve"> inwestycji bezpośrednio związane z osiągnięciem wyższego poziomu ochrony środowiska, inne niż wymienione w pkt. </w:t>
      </w:r>
      <w:r w:rsidR="000E7E9C">
        <w:rPr>
          <w:rFonts w:eastAsia="Calibri" w:cstheme="minorHAnsi"/>
          <w:sz w:val="24"/>
          <w:szCs w:val="24"/>
        </w:rPr>
        <w:t>7.3.1</w:t>
      </w:r>
      <w:r w:rsidR="00D02548">
        <w:rPr>
          <w:rFonts w:eastAsia="Calibri" w:cstheme="minorHAnsi"/>
          <w:sz w:val="24"/>
          <w:szCs w:val="24"/>
        </w:rPr>
        <w:t xml:space="preserve"> pkt 1)-</w:t>
      </w:r>
      <w:r w:rsidR="00BA40F6">
        <w:rPr>
          <w:rFonts w:eastAsia="Calibri" w:cstheme="minorHAnsi"/>
          <w:sz w:val="24"/>
          <w:szCs w:val="24"/>
        </w:rPr>
        <w:t>2)</w:t>
      </w:r>
      <w:r w:rsidRPr="00AC5AD7">
        <w:rPr>
          <w:rFonts w:eastAsia="Calibri" w:cstheme="minorHAnsi"/>
          <w:sz w:val="24"/>
          <w:szCs w:val="24"/>
        </w:rPr>
        <w:t>. Jednocześnie</w:t>
      </w:r>
      <w:r>
        <w:rPr>
          <w:rFonts w:eastAsia="Calibri" w:cstheme="minorHAnsi"/>
          <w:sz w:val="24"/>
          <w:szCs w:val="24"/>
        </w:rPr>
        <w:t xml:space="preserve"> poziomy intensywności, o których mowa w pkt</w:t>
      </w:r>
      <w:r w:rsidRPr="003C57A2">
        <w:rPr>
          <w:rFonts w:eastAsia="Calibri" w:cstheme="minorHAnsi"/>
          <w:sz w:val="24"/>
          <w:szCs w:val="24"/>
        </w:rPr>
        <w:t xml:space="preserve">. 7.2 pkt 1 lit </w:t>
      </w:r>
      <w:r w:rsidR="00AC5AD7" w:rsidRPr="00753895">
        <w:rPr>
          <w:rFonts w:eastAsia="Calibri" w:cstheme="minorHAnsi"/>
          <w:sz w:val="24"/>
          <w:szCs w:val="24"/>
        </w:rPr>
        <w:t>a</w:t>
      </w:r>
      <w:r w:rsidRPr="003C57A2">
        <w:rPr>
          <w:rFonts w:eastAsia="Calibri" w:cstheme="minorHAnsi"/>
          <w:sz w:val="24"/>
          <w:szCs w:val="24"/>
        </w:rPr>
        <w:t>)</w:t>
      </w:r>
      <w:r>
        <w:rPr>
          <w:rFonts w:eastAsia="Calibri" w:cstheme="minorHAnsi"/>
          <w:sz w:val="24"/>
          <w:szCs w:val="24"/>
        </w:rPr>
        <w:t xml:space="preserve"> oraz premie z tytułu statusu przedsiębiorstwa oraz lokalizacji inwestycji są zmniejszone o 50%, zgodnie z zasadą odstępstwa, o której mowa w art. 36 ust. 11 </w:t>
      </w:r>
      <w:r w:rsidRPr="00654481">
        <w:rPr>
          <w:rFonts w:eastAsia="Calibri" w:cstheme="minorHAnsi"/>
          <w:sz w:val="24"/>
          <w:szCs w:val="24"/>
        </w:rPr>
        <w:t xml:space="preserve">rozporządzenia </w:t>
      </w:r>
      <w:r>
        <w:rPr>
          <w:rFonts w:eastAsia="Calibri" w:cstheme="minorHAnsi"/>
          <w:sz w:val="24"/>
          <w:szCs w:val="24"/>
        </w:rPr>
        <w:t xml:space="preserve">Komisji (UE) </w:t>
      </w:r>
      <w:r w:rsidRPr="00654481">
        <w:rPr>
          <w:rFonts w:eastAsia="Calibri" w:cstheme="minorHAnsi"/>
          <w:sz w:val="24"/>
          <w:szCs w:val="24"/>
        </w:rPr>
        <w:t>nr 651/2014</w:t>
      </w:r>
      <w:r>
        <w:rPr>
          <w:rFonts w:eastAsia="Calibri" w:cstheme="minorHAnsi"/>
          <w:sz w:val="24"/>
          <w:szCs w:val="24"/>
        </w:rPr>
        <w:t>.</w:t>
      </w:r>
    </w:p>
    <w:p w14:paraId="4D9EB3AA" w14:textId="77777777" w:rsidR="00BA7C34" w:rsidRPr="008E6F5B" w:rsidRDefault="00BA7C34" w:rsidP="003901B9">
      <w:pPr>
        <w:spacing w:after="0" w:line="276" w:lineRule="auto"/>
        <w:rPr>
          <w:rFonts w:eastAsia="Calibri" w:cstheme="minorHAnsi"/>
          <w:sz w:val="24"/>
          <w:szCs w:val="24"/>
        </w:rPr>
      </w:pPr>
      <w:r w:rsidRPr="00762814">
        <w:rPr>
          <w:rFonts w:eastAsia="Calibri" w:cstheme="minorHAnsi"/>
          <w:sz w:val="24"/>
          <w:szCs w:val="24"/>
        </w:rPr>
        <w:t xml:space="preserve">Za koszty inwestycji uznaje się koszty nabycia: gruntów; nieruchomości zabudowanych; </w:t>
      </w:r>
      <w:r w:rsidRPr="008E6F5B">
        <w:rPr>
          <w:rFonts w:eastAsia="Calibri" w:cstheme="minorHAnsi"/>
          <w:sz w:val="24"/>
          <w:szCs w:val="24"/>
        </w:rPr>
        <w:t>środków trwałych innych niż nieruchomości; wartości niematerialnych i prawnych lub robót i materiałów budowlanych.</w:t>
      </w:r>
    </w:p>
    <w:p w14:paraId="505BB4BC" w14:textId="11BC87DE" w:rsidR="00D661AA" w:rsidRPr="008E6F5B" w:rsidRDefault="00532394" w:rsidP="00151815">
      <w:pPr>
        <w:pStyle w:val="Nagwek4"/>
        <w:spacing w:before="120" w:line="276" w:lineRule="auto"/>
        <w:ind w:left="567" w:hanging="567"/>
        <w:rPr>
          <w:rFonts w:asciiTheme="minorHAnsi" w:hAnsiTheme="minorHAnsi" w:cstheme="minorHAnsi"/>
          <w:i w:val="0"/>
          <w:color w:val="auto"/>
          <w:sz w:val="28"/>
          <w:szCs w:val="28"/>
        </w:rPr>
      </w:pPr>
      <w:bookmarkStart w:id="542" w:name="_Toc202174419"/>
      <w:r>
        <w:rPr>
          <w:rFonts w:asciiTheme="minorHAnsi" w:hAnsiTheme="minorHAnsi" w:cstheme="minorHAnsi"/>
          <w:i w:val="0"/>
          <w:color w:val="auto"/>
          <w:sz w:val="28"/>
          <w:szCs w:val="28"/>
        </w:rPr>
        <w:t>4</w:t>
      </w:r>
      <w:r w:rsidR="00697EC4">
        <w:rPr>
          <w:rFonts w:asciiTheme="minorHAnsi" w:hAnsiTheme="minorHAnsi" w:cstheme="minorHAnsi"/>
          <w:i w:val="0"/>
          <w:color w:val="auto"/>
          <w:sz w:val="28"/>
          <w:szCs w:val="28"/>
        </w:rPr>
        <w:t xml:space="preserve">) </w:t>
      </w:r>
      <w:r w:rsidR="00697EC4" w:rsidRPr="00E879EB">
        <w:rPr>
          <w:rFonts w:asciiTheme="minorHAnsi" w:hAnsiTheme="minorHAnsi" w:cstheme="minorHAnsi"/>
          <w:i w:val="0"/>
          <w:color w:val="auto"/>
          <w:sz w:val="28"/>
          <w:szCs w:val="28"/>
        </w:rPr>
        <w:t xml:space="preserve">Ochrona środowiska, </w:t>
      </w:r>
      <w:r w:rsidR="007105A3" w:rsidRPr="00151815">
        <w:rPr>
          <w:rFonts w:asciiTheme="minorHAnsi" w:hAnsiTheme="minorHAnsi" w:cstheme="minorHAnsi"/>
          <w:i w:val="0"/>
          <w:color w:val="auto"/>
          <w:sz w:val="28"/>
          <w:szCs w:val="28"/>
        </w:rPr>
        <w:t xml:space="preserve">w tym </w:t>
      </w:r>
      <w:r w:rsidR="007523EE" w:rsidRPr="00151815">
        <w:rPr>
          <w:rFonts w:asciiTheme="minorHAnsi" w:hAnsiTheme="minorHAnsi" w:cstheme="minorHAnsi"/>
          <w:i w:val="0"/>
          <w:color w:val="auto"/>
          <w:sz w:val="28"/>
          <w:szCs w:val="28"/>
        </w:rPr>
        <w:t>wychwytywanie i transport CO2</w:t>
      </w:r>
      <w:bookmarkEnd w:id="542"/>
    </w:p>
    <w:p w14:paraId="548CE2AE" w14:textId="10CE703C" w:rsidR="003E463C" w:rsidRPr="00151815" w:rsidRDefault="003E463C" w:rsidP="00037082">
      <w:pPr>
        <w:rPr>
          <w:sz w:val="24"/>
          <w:szCs w:val="24"/>
        </w:rPr>
      </w:pPr>
      <w:r w:rsidRPr="00151815">
        <w:rPr>
          <w:iCs/>
          <w:sz w:val="24"/>
          <w:szCs w:val="24"/>
        </w:rPr>
        <w:t xml:space="preserve">W ramach tej kategorii za kwalifikowane uznaje się koszty </w:t>
      </w:r>
      <w:r w:rsidRPr="00151815">
        <w:rPr>
          <w:sz w:val="24"/>
          <w:szCs w:val="24"/>
        </w:rPr>
        <w:t>bezpośrednio powiązane z realizacją celu środowiskowego</w:t>
      </w:r>
      <w:r w:rsidR="008A6763" w:rsidRPr="00151815">
        <w:rPr>
          <w:sz w:val="24"/>
          <w:szCs w:val="24"/>
        </w:rPr>
        <w:t xml:space="preserve">, </w:t>
      </w:r>
      <w:r w:rsidR="00D661AA" w:rsidRPr="00151815">
        <w:rPr>
          <w:sz w:val="24"/>
          <w:szCs w:val="24"/>
        </w:rPr>
        <w:t>o których mowa w art. 2 pkt 131a) i 131b) Rozporządzenia Komisji (UE) nr 651/2014.</w:t>
      </w:r>
    </w:p>
    <w:p w14:paraId="2775350E" w14:textId="77777777" w:rsidR="008A6763" w:rsidRPr="00151815" w:rsidRDefault="008A6763" w:rsidP="008A6763">
      <w:pPr>
        <w:spacing w:before="100" w:beforeAutospacing="1" w:after="100" w:afterAutospacing="1" w:line="240" w:lineRule="auto"/>
        <w:rPr>
          <w:iCs/>
          <w:sz w:val="24"/>
          <w:szCs w:val="24"/>
        </w:rPr>
      </w:pPr>
      <w:r w:rsidRPr="00151815">
        <w:rPr>
          <w:iCs/>
          <w:sz w:val="24"/>
          <w:szCs w:val="24"/>
        </w:rPr>
        <w:t>Inwestycje w wychwytywanie i transport CO2 muszą spełniać łącznie następujące warunki:</w:t>
      </w:r>
    </w:p>
    <w:p w14:paraId="33BAD367" w14:textId="059F91C6" w:rsidR="008A6763" w:rsidRPr="00151815" w:rsidRDefault="008A6763" w:rsidP="008A6763">
      <w:pPr>
        <w:spacing w:before="100" w:beforeAutospacing="1" w:after="100" w:afterAutospacing="1" w:line="240" w:lineRule="auto"/>
        <w:rPr>
          <w:iCs/>
          <w:sz w:val="24"/>
          <w:szCs w:val="24"/>
        </w:rPr>
      </w:pPr>
      <w:r w:rsidRPr="00151815">
        <w:rPr>
          <w:iCs/>
          <w:sz w:val="24"/>
          <w:szCs w:val="24"/>
        </w:rPr>
        <w:t>a) wychwytywanie lub transport CO2, w tym poszczególne elementy łańcucha CCS</w:t>
      </w:r>
      <w:r w:rsidR="00C34894">
        <w:rPr>
          <w:iCs/>
          <w:sz w:val="24"/>
          <w:szCs w:val="24"/>
        </w:rPr>
        <w:t xml:space="preserve"> </w:t>
      </w:r>
      <w:r w:rsidRPr="00151815">
        <w:rPr>
          <w:iCs/>
          <w:sz w:val="24"/>
          <w:szCs w:val="24"/>
        </w:rPr>
        <w:t>lub CCU, są włączone do całego łańcucha CCS lub CCU;</w:t>
      </w:r>
    </w:p>
    <w:p w14:paraId="1E7093BF" w14:textId="24784CF2" w:rsidR="008A6763" w:rsidRPr="00151815" w:rsidRDefault="008A6763" w:rsidP="008A6763">
      <w:pPr>
        <w:spacing w:before="100" w:beforeAutospacing="1" w:after="100" w:afterAutospacing="1" w:line="240" w:lineRule="auto"/>
        <w:rPr>
          <w:iCs/>
          <w:sz w:val="24"/>
          <w:szCs w:val="24"/>
        </w:rPr>
      </w:pPr>
      <w:r w:rsidRPr="00151815">
        <w:rPr>
          <w:iCs/>
          <w:sz w:val="24"/>
          <w:szCs w:val="24"/>
        </w:rPr>
        <w:t>b) wartość bieżąca netto projektu inwestycyjnego w ciągu jego cyklu życia jest ujemna. W celu obliczenia wartości bieżącej netto projektu uwzględnia się nieponiesione koszty emisji CO2;</w:t>
      </w:r>
    </w:p>
    <w:p w14:paraId="1FB6ACF2" w14:textId="6151F6D5" w:rsidR="008A6763" w:rsidRPr="00151815" w:rsidRDefault="008A6763" w:rsidP="008A6763">
      <w:pPr>
        <w:spacing w:before="100" w:beforeAutospacing="1" w:after="100" w:afterAutospacing="1" w:line="240" w:lineRule="auto"/>
        <w:rPr>
          <w:iCs/>
          <w:sz w:val="24"/>
          <w:szCs w:val="24"/>
        </w:rPr>
      </w:pPr>
      <w:r w:rsidRPr="00151815">
        <w:rPr>
          <w:iCs/>
          <w:sz w:val="24"/>
          <w:szCs w:val="24"/>
        </w:rPr>
        <w:t>c) kosztami kwalifikowalnymi są wyłącznie dodatkowe koszty inwestycyjne wynikające z wychwytywania CO2 z instalacji emitującej CO2 (instalacji przemysłowej lub elektrowni) lub bezpośrednio z powietrza atmosferycznego, a także wynikające z buforowego składowania i transportu wychwyconych emisji CO2.</w:t>
      </w:r>
    </w:p>
    <w:p w14:paraId="36A39487" w14:textId="7D17A333" w:rsidR="00C90344" w:rsidRPr="00151815" w:rsidRDefault="003E463C" w:rsidP="003901B9">
      <w:pPr>
        <w:spacing w:after="0" w:line="276" w:lineRule="auto"/>
        <w:rPr>
          <w:rFonts w:eastAsia="Calibri" w:cstheme="minorHAnsi"/>
          <w:sz w:val="24"/>
          <w:szCs w:val="24"/>
        </w:rPr>
      </w:pPr>
      <w:r w:rsidRPr="00013531">
        <w:rPr>
          <w:rFonts w:eastAsia="Calibri" w:cstheme="minorHAnsi"/>
          <w:sz w:val="24"/>
          <w:szCs w:val="24"/>
        </w:rPr>
        <w:t>Za koszty inwestycji uznaje się koszty nabycia: środków trwałych innych niż nieruchomości</w:t>
      </w:r>
      <w:r w:rsidR="00D661AA" w:rsidRPr="00013531">
        <w:rPr>
          <w:rFonts w:eastAsia="Calibri" w:cstheme="minorHAnsi"/>
          <w:sz w:val="24"/>
          <w:szCs w:val="24"/>
        </w:rPr>
        <w:t>, wartości niematerialnych i prawnych lub robót i materiałów budowlanych</w:t>
      </w:r>
      <w:r w:rsidR="008E6F5B" w:rsidRPr="00013531">
        <w:rPr>
          <w:rFonts w:eastAsia="Calibri" w:cstheme="minorHAnsi"/>
          <w:sz w:val="24"/>
          <w:szCs w:val="24"/>
        </w:rPr>
        <w:t>.</w:t>
      </w:r>
    </w:p>
    <w:p w14:paraId="5C5F6D8D" w14:textId="7A2C1BD7" w:rsidR="00BA7C34" w:rsidRPr="00A54895" w:rsidRDefault="00BA7C34" w:rsidP="003901B9">
      <w:pPr>
        <w:pStyle w:val="Nagwek4"/>
        <w:spacing w:before="120" w:line="276" w:lineRule="auto"/>
        <w:ind w:left="709" w:hanging="709"/>
        <w:rPr>
          <w:rFonts w:asciiTheme="minorHAnsi" w:hAnsiTheme="minorHAnsi" w:cstheme="minorHAnsi"/>
          <w:i w:val="0"/>
          <w:color w:val="auto"/>
          <w:sz w:val="28"/>
          <w:szCs w:val="28"/>
        </w:rPr>
      </w:pPr>
      <w:bookmarkStart w:id="543" w:name="_Toc202174420"/>
      <w:r w:rsidRPr="006B6D57">
        <w:rPr>
          <w:rFonts w:asciiTheme="minorHAnsi" w:hAnsiTheme="minorHAnsi" w:cstheme="minorHAnsi"/>
          <w:i w:val="0"/>
          <w:color w:val="auto"/>
          <w:sz w:val="28"/>
          <w:szCs w:val="28"/>
        </w:rPr>
        <w:lastRenderedPageBreak/>
        <w:t>7.3.</w:t>
      </w:r>
      <w:r w:rsidR="000E7E9C">
        <w:rPr>
          <w:rFonts w:asciiTheme="minorHAnsi" w:hAnsiTheme="minorHAnsi" w:cstheme="minorHAnsi"/>
          <w:i w:val="0"/>
          <w:color w:val="auto"/>
          <w:sz w:val="28"/>
          <w:szCs w:val="28"/>
        </w:rPr>
        <w:t>2</w:t>
      </w:r>
      <w:r w:rsidRPr="006B6D57">
        <w:rPr>
          <w:rFonts w:asciiTheme="minorHAnsi" w:hAnsiTheme="minorHAnsi" w:cstheme="minorHAnsi"/>
          <w:i w:val="0"/>
          <w:color w:val="auto"/>
          <w:sz w:val="28"/>
          <w:szCs w:val="28"/>
        </w:rPr>
        <w:t xml:space="preserve"> Efektywność energetyczna - całkowite koszty inwestycji (obniżona intensywność)</w:t>
      </w:r>
      <w:bookmarkEnd w:id="543"/>
    </w:p>
    <w:p w14:paraId="53FAB089" w14:textId="6E035956" w:rsidR="00BA7C34" w:rsidRDefault="00BA7C34" w:rsidP="00BA7C34">
      <w:pPr>
        <w:spacing w:after="120" w:line="276" w:lineRule="auto"/>
        <w:rPr>
          <w:rFonts w:eastAsia="Calibri" w:cstheme="minorHAnsi"/>
          <w:sz w:val="24"/>
          <w:szCs w:val="24"/>
        </w:rPr>
      </w:pPr>
      <w:r>
        <w:rPr>
          <w:rFonts w:eastAsia="Calibri" w:cstheme="minorHAnsi"/>
          <w:sz w:val="24"/>
          <w:szCs w:val="24"/>
        </w:rPr>
        <w:t xml:space="preserve">W ramach tej kategorii za kwalifikowane uznaje się koszty inwestycji bezpośrednio związane z poprawą efektywności energetycznej. </w:t>
      </w:r>
      <w:r w:rsidRPr="00C82639">
        <w:rPr>
          <w:rFonts w:eastAsia="Calibri" w:cstheme="minorHAnsi"/>
          <w:sz w:val="24"/>
          <w:szCs w:val="24"/>
        </w:rPr>
        <w:t xml:space="preserve">Poziomy intensywności, o których mowa w pkt. 7.2 pkt 1 lit </w:t>
      </w:r>
      <w:r w:rsidR="00AC5AD7" w:rsidRPr="00C82639">
        <w:rPr>
          <w:rFonts w:eastAsia="Calibri" w:cstheme="minorHAnsi"/>
          <w:sz w:val="24"/>
          <w:szCs w:val="24"/>
        </w:rPr>
        <w:t>b</w:t>
      </w:r>
      <w:r w:rsidRPr="00C82639">
        <w:rPr>
          <w:rFonts w:eastAsia="Calibri" w:cstheme="minorHAnsi"/>
          <w:sz w:val="24"/>
          <w:szCs w:val="24"/>
        </w:rPr>
        <w:t>) oraz premie z tytułu statusu przedsiębiorstwa i lokalizacji inwestycji są zmniejszone o 50% zgodnie z zasadą odstępstwa, o której mowa w art. 38 ust. 8 rozporządzenia Komisji (UE) nr 651/2014.</w:t>
      </w:r>
    </w:p>
    <w:p w14:paraId="53534A57" w14:textId="77777777" w:rsidR="00BA7C34" w:rsidRDefault="00BA7C34" w:rsidP="00BA7C34">
      <w:pPr>
        <w:spacing w:after="120" w:line="276" w:lineRule="auto"/>
        <w:rPr>
          <w:rFonts w:eastAsia="Calibri" w:cstheme="minorHAnsi"/>
          <w:sz w:val="24"/>
          <w:szCs w:val="24"/>
        </w:rPr>
      </w:pPr>
      <w:r w:rsidRPr="00762814">
        <w:rPr>
          <w:rFonts w:eastAsia="Calibri" w:cstheme="minorHAnsi"/>
          <w:sz w:val="24"/>
          <w:szCs w:val="24"/>
        </w:rPr>
        <w:t>Za koszty inwestycji uznaje się koszty nabycia: gruntów; nieruchomości zabudowanych; środków trwałych innych niż nieruchomości; wartości niematerialnych i prawnych lub robót i materiałów budowlanych.</w:t>
      </w:r>
    </w:p>
    <w:p w14:paraId="3D57CBE4" w14:textId="77777777" w:rsidR="00BA7C34" w:rsidRPr="00762814" w:rsidRDefault="00BA7C34" w:rsidP="00BA7C34">
      <w:pPr>
        <w:spacing w:after="120" w:line="276" w:lineRule="auto"/>
        <w:rPr>
          <w:rFonts w:eastAsia="Calibri" w:cstheme="minorHAnsi"/>
          <w:sz w:val="24"/>
          <w:szCs w:val="24"/>
        </w:rPr>
      </w:pPr>
      <w:r w:rsidRPr="00762814">
        <w:rPr>
          <w:rFonts w:cstheme="minorHAnsi"/>
          <w:sz w:val="24"/>
          <w:szCs w:val="24"/>
        </w:rPr>
        <w:t>Kwalifikowane są tylko i wyłącznie koszty bezpośrednio związane z osiągnięciem wyższego poziomu</w:t>
      </w:r>
      <w:r>
        <w:rPr>
          <w:rFonts w:cstheme="minorHAnsi"/>
          <w:sz w:val="24"/>
          <w:szCs w:val="24"/>
        </w:rPr>
        <w:t xml:space="preserve"> </w:t>
      </w:r>
      <w:r w:rsidRPr="0023028B">
        <w:rPr>
          <w:b/>
          <w:sz w:val="24"/>
        </w:rPr>
        <w:t>efektywności energetycznej</w:t>
      </w:r>
      <w:r w:rsidRPr="002F2D12">
        <w:rPr>
          <w:rFonts w:eastAsia="Calibri" w:cstheme="minorHAnsi"/>
          <w:sz w:val="24"/>
          <w:szCs w:val="24"/>
        </w:rPr>
        <w:t xml:space="preserve"> </w:t>
      </w:r>
      <w:r w:rsidRPr="00E1147F">
        <w:rPr>
          <w:rFonts w:eastAsia="Calibri" w:cstheme="minorHAnsi"/>
          <w:sz w:val="24"/>
          <w:szCs w:val="24"/>
        </w:rPr>
        <w:t>innej niż w budynkach</w:t>
      </w:r>
      <w:r>
        <w:rPr>
          <w:rFonts w:eastAsia="Calibri" w:cstheme="minorHAnsi"/>
          <w:sz w:val="24"/>
          <w:szCs w:val="24"/>
        </w:rPr>
        <w:t xml:space="preserve">, </w:t>
      </w:r>
      <w:r w:rsidRPr="00762814">
        <w:rPr>
          <w:rFonts w:cstheme="minorHAnsi"/>
          <w:sz w:val="24"/>
          <w:szCs w:val="24"/>
        </w:rPr>
        <w:t>o któr</w:t>
      </w:r>
      <w:r w:rsidRPr="004F2D16">
        <w:rPr>
          <w:rFonts w:cstheme="minorHAnsi"/>
          <w:sz w:val="24"/>
          <w:szCs w:val="24"/>
        </w:rPr>
        <w:t xml:space="preserve">ej mowa w art. 2 </w:t>
      </w:r>
      <w:r w:rsidRPr="00EF6065">
        <w:rPr>
          <w:sz w:val="24"/>
          <w:szCs w:val="24"/>
        </w:rPr>
        <w:t xml:space="preserve">ust. 103 </w:t>
      </w:r>
      <w:r w:rsidRPr="004F2D16">
        <w:rPr>
          <w:rFonts w:eastAsia="Calibri" w:cstheme="minorHAnsi"/>
          <w:sz w:val="24"/>
          <w:szCs w:val="24"/>
        </w:rPr>
        <w:t xml:space="preserve">ww. rozporządzenia. </w:t>
      </w:r>
    </w:p>
    <w:p w14:paraId="6C35ACF6" w14:textId="77777777" w:rsidR="00BA7C34" w:rsidRDefault="00BA7C34" w:rsidP="00BA7C34">
      <w:pPr>
        <w:spacing w:after="120" w:line="276" w:lineRule="auto"/>
        <w:rPr>
          <w:rFonts w:cstheme="minorHAnsi"/>
          <w:sz w:val="24"/>
          <w:szCs w:val="24"/>
        </w:rPr>
      </w:pPr>
      <w:r w:rsidRPr="00762814">
        <w:rPr>
          <w:rFonts w:cstheme="minorHAnsi"/>
          <w:sz w:val="24"/>
          <w:szCs w:val="24"/>
        </w:rPr>
        <w:t>Wydatków, które nie są bezpośrednio związane z osiągnięciem wyższego poziomu efektywności energetycznej, nie uznaje się za kwalifikowalne.</w:t>
      </w:r>
    </w:p>
    <w:p w14:paraId="62394FFA" w14:textId="77777777" w:rsidR="00BA7C34" w:rsidRDefault="00BA7C34" w:rsidP="00BA7C34">
      <w:pPr>
        <w:spacing w:after="120" w:line="276" w:lineRule="auto"/>
        <w:rPr>
          <w:rFonts w:eastAsia="Calibri" w:cstheme="minorHAnsi"/>
          <w:b/>
          <w:bCs/>
          <w:sz w:val="24"/>
          <w:szCs w:val="24"/>
        </w:rPr>
      </w:pPr>
      <w:r>
        <w:rPr>
          <w:rFonts w:eastAsia="Calibri" w:cstheme="minorHAnsi"/>
          <w:b/>
          <w:bCs/>
          <w:sz w:val="24"/>
          <w:szCs w:val="24"/>
        </w:rPr>
        <w:t>K</w:t>
      </w:r>
      <w:r w:rsidRPr="00762814">
        <w:rPr>
          <w:rFonts w:eastAsia="Calibri" w:cstheme="minorHAnsi"/>
          <w:b/>
          <w:bCs/>
          <w:sz w:val="24"/>
          <w:szCs w:val="24"/>
        </w:rPr>
        <w:t xml:space="preserve">oszty te są objęte pomocą z art. </w:t>
      </w:r>
      <w:r>
        <w:rPr>
          <w:rFonts w:eastAsia="Calibri" w:cstheme="minorHAnsi"/>
          <w:b/>
          <w:bCs/>
          <w:sz w:val="24"/>
          <w:szCs w:val="24"/>
        </w:rPr>
        <w:t>38</w:t>
      </w:r>
      <w:r w:rsidRPr="00762814">
        <w:rPr>
          <w:rFonts w:eastAsia="Calibri" w:cstheme="minorHAnsi"/>
          <w:b/>
          <w:bCs/>
          <w:sz w:val="24"/>
          <w:szCs w:val="24"/>
        </w:rPr>
        <w:t xml:space="preserve"> rozporządzenia Komisji (UE) nr 651/2014 (pomoc </w:t>
      </w:r>
      <w:r w:rsidRPr="00762814">
        <w:rPr>
          <w:rFonts w:eastAsia="Calibri" w:cstheme="minorHAnsi"/>
          <w:b/>
          <w:sz w:val="24"/>
          <w:szCs w:val="24"/>
        </w:rPr>
        <w:t>inwestycyjn</w:t>
      </w:r>
      <w:r>
        <w:rPr>
          <w:rFonts w:eastAsia="Calibri" w:cstheme="minorHAnsi"/>
          <w:b/>
          <w:sz w:val="24"/>
          <w:szCs w:val="24"/>
        </w:rPr>
        <w:t>a</w:t>
      </w:r>
      <w:r w:rsidRPr="00762814">
        <w:rPr>
          <w:rFonts w:eastAsia="Calibri" w:cstheme="minorHAnsi"/>
          <w:b/>
          <w:sz w:val="24"/>
          <w:szCs w:val="24"/>
        </w:rPr>
        <w:t xml:space="preserve"> na środki wspierające efektywność energetyczną</w:t>
      </w:r>
      <w:r w:rsidRPr="0018262B">
        <w:rPr>
          <w:b/>
          <w:sz w:val="24"/>
        </w:rPr>
        <w:t xml:space="preserve"> </w:t>
      </w:r>
      <w:r w:rsidRPr="002B5037">
        <w:rPr>
          <w:rFonts w:eastAsia="Calibri" w:cstheme="minorHAnsi"/>
          <w:b/>
          <w:sz w:val="24"/>
          <w:szCs w:val="24"/>
        </w:rPr>
        <w:t>inną niż w budynkach</w:t>
      </w:r>
      <w:r w:rsidRPr="00762814">
        <w:rPr>
          <w:rFonts w:eastAsia="Calibri" w:cstheme="minorHAnsi"/>
          <w:b/>
          <w:bCs/>
          <w:sz w:val="24"/>
          <w:szCs w:val="24"/>
        </w:rPr>
        <w:t>)</w:t>
      </w:r>
      <w:r>
        <w:rPr>
          <w:rFonts w:eastAsia="Calibri" w:cstheme="minorHAnsi"/>
          <w:b/>
          <w:bCs/>
          <w:sz w:val="24"/>
          <w:szCs w:val="24"/>
        </w:rPr>
        <w:t>.</w:t>
      </w:r>
    </w:p>
    <w:p w14:paraId="4BBE1857" w14:textId="0A580748" w:rsidR="00BA7C34" w:rsidRPr="006E62C2" w:rsidRDefault="00BA7C34" w:rsidP="00BA7C34">
      <w:pPr>
        <w:pStyle w:val="Nagwek4"/>
        <w:spacing w:before="120" w:line="276" w:lineRule="auto"/>
        <w:ind w:left="709" w:hanging="709"/>
        <w:rPr>
          <w:rFonts w:asciiTheme="minorHAnsi" w:hAnsiTheme="minorHAnsi" w:cstheme="minorHAnsi"/>
          <w:i w:val="0"/>
          <w:color w:val="auto"/>
          <w:sz w:val="28"/>
          <w:szCs w:val="28"/>
        </w:rPr>
      </w:pPr>
      <w:bookmarkStart w:id="544" w:name="_Toc202174421"/>
      <w:r w:rsidRPr="006E62C2">
        <w:rPr>
          <w:rFonts w:asciiTheme="minorHAnsi" w:hAnsiTheme="minorHAnsi" w:cstheme="minorHAnsi"/>
          <w:i w:val="0"/>
          <w:color w:val="auto"/>
          <w:sz w:val="28"/>
          <w:szCs w:val="28"/>
        </w:rPr>
        <w:t>7.3.</w:t>
      </w:r>
      <w:r w:rsidR="000E7E9C">
        <w:rPr>
          <w:rFonts w:asciiTheme="minorHAnsi" w:hAnsiTheme="minorHAnsi" w:cstheme="minorHAnsi"/>
          <w:i w:val="0"/>
          <w:color w:val="auto"/>
          <w:sz w:val="28"/>
          <w:szCs w:val="28"/>
        </w:rPr>
        <w:t>3</w:t>
      </w:r>
      <w:r w:rsidRPr="006E62C2">
        <w:rPr>
          <w:rFonts w:asciiTheme="minorHAnsi" w:hAnsiTheme="minorHAnsi" w:cstheme="minorHAnsi"/>
          <w:i w:val="0"/>
          <w:color w:val="auto"/>
          <w:sz w:val="28"/>
          <w:szCs w:val="28"/>
        </w:rPr>
        <w:t xml:space="preserve"> </w:t>
      </w:r>
      <w:r>
        <w:rPr>
          <w:rFonts w:asciiTheme="minorHAnsi" w:hAnsiTheme="minorHAnsi" w:cstheme="minorHAnsi"/>
          <w:i w:val="0"/>
          <w:color w:val="auto"/>
          <w:sz w:val="28"/>
          <w:szCs w:val="28"/>
        </w:rPr>
        <w:t>E</w:t>
      </w:r>
      <w:r w:rsidRPr="006E62C2">
        <w:rPr>
          <w:rFonts w:asciiTheme="minorHAnsi" w:hAnsiTheme="minorHAnsi" w:cstheme="minorHAnsi"/>
          <w:i w:val="0"/>
          <w:color w:val="auto"/>
          <w:sz w:val="28"/>
          <w:szCs w:val="28"/>
        </w:rPr>
        <w:t>fektywność energetyczna w budynkach</w:t>
      </w:r>
      <w:r w:rsidRPr="006E62C2" w:rsidDel="00066E2B">
        <w:rPr>
          <w:rFonts w:asciiTheme="minorHAnsi" w:hAnsiTheme="minorHAnsi" w:cstheme="minorHAnsi"/>
          <w:i w:val="0"/>
          <w:color w:val="auto"/>
          <w:sz w:val="28"/>
          <w:szCs w:val="28"/>
        </w:rPr>
        <w:t xml:space="preserve"> </w:t>
      </w:r>
      <w:r>
        <w:rPr>
          <w:rFonts w:asciiTheme="minorHAnsi" w:hAnsiTheme="minorHAnsi" w:cstheme="minorHAnsi"/>
          <w:i w:val="0"/>
          <w:color w:val="auto"/>
          <w:sz w:val="28"/>
          <w:szCs w:val="28"/>
        </w:rPr>
        <w:t xml:space="preserve">- </w:t>
      </w:r>
      <w:r w:rsidRPr="006E62C2">
        <w:rPr>
          <w:rFonts w:asciiTheme="minorHAnsi" w:hAnsiTheme="minorHAnsi" w:cstheme="minorHAnsi"/>
          <w:i w:val="0"/>
          <w:color w:val="auto"/>
          <w:sz w:val="28"/>
          <w:szCs w:val="28"/>
        </w:rPr>
        <w:t>Całkowite koszty inwestycji</w:t>
      </w:r>
      <w:bookmarkEnd w:id="544"/>
    </w:p>
    <w:p w14:paraId="56B8985F" w14:textId="77777777" w:rsidR="00BA7C34" w:rsidRDefault="00BA7C34" w:rsidP="00BA7C34">
      <w:pPr>
        <w:rPr>
          <w:sz w:val="24"/>
          <w:szCs w:val="24"/>
        </w:rPr>
      </w:pPr>
      <w:r w:rsidRPr="00CA563B">
        <w:rPr>
          <w:sz w:val="24"/>
          <w:szCs w:val="24"/>
        </w:rPr>
        <w:t>Kosztami kwalifikowalnymi są całkowite koszty inwestycji bezpośrednio związane z osiągnięciem wyższego poziomu efektywności energetycznej</w:t>
      </w:r>
      <w:r w:rsidRPr="00AC1C75">
        <w:rPr>
          <w:sz w:val="24"/>
          <w:szCs w:val="24"/>
        </w:rPr>
        <w:t xml:space="preserve"> </w:t>
      </w:r>
      <w:r>
        <w:rPr>
          <w:sz w:val="24"/>
          <w:szCs w:val="24"/>
        </w:rPr>
        <w:t xml:space="preserve">budynku, </w:t>
      </w:r>
      <w:r w:rsidRPr="00C03564">
        <w:rPr>
          <w:sz w:val="24"/>
          <w:szCs w:val="24"/>
        </w:rPr>
        <w:t>o której mowa w art. 2 ust. 103 ww. rozporządzenia</w:t>
      </w:r>
      <w:r>
        <w:rPr>
          <w:sz w:val="24"/>
          <w:szCs w:val="24"/>
        </w:rPr>
        <w:t xml:space="preserve">, poniesione przez wnioskodawcę będącego właścicielem lub najemcą budynku. </w:t>
      </w:r>
    </w:p>
    <w:p w14:paraId="02BA5B64" w14:textId="77777777" w:rsidR="00BA7C34" w:rsidRDefault="00BA7C34" w:rsidP="00BA7C34">
      <w:pPr>
        <w:rPr>
          <w:sz w:val="24"/>
          <w:szCs w:val="24"/>
        </w:rPr>
      </w:pPr>
      <w:r>
        <w:rPr>
          <w:sz w:val="24"/>
          <w:szCs w:val="24"/>
        </w:rPr>
        <w:t xml:space="preserve">Jednocześnie, w ramach inwestycji w poprawę </w:t>
      </w:r>
      <w:r w:rsidRPr="00EB0550">
        <w:rPr>
          <w:sz w:val="24"/>
          <w:szCs w:val="24"/>
        </w:rPr>
        <w:t>efektywności energetycznej</w:t>
      </w:r>
      <w:r>
        <w:rPr>
          <w:sz w:val="24"/>
          <w:szCs w:val="24"/>
        </w:rPr>
        <w:t xml:space="preserve"> budynku można uwzględnić jako dodatkowe następujące koszty wymienione w art. 38a ust. 7 r</w:t>
      </w:r>
      <w:r w:rsidRPr="00BF48A5">
        <w:rPr>
          <w:sz w:val="24"/>
          <w:szCs w:val="24"/>
        </w:rPr>
        <w:t>ozporządzenia Komisji (UE) nr 651/2014</w:t>
      </w:r>
      <w:r>
        <w:rPr>
          <w:sz w:val="24"/>
          <w:szCs w:val="24"/>
        </w:rPr>
        <w:t xml:space="preserve"> tj.:</w:t>
      </w:r>
    </w:p>
    <w:p w14:paraId="4250CDDD" w14:textId="77777777" w:rsidR="00BA7C34" w:rsidRPr="002A3D00" w:rsidRDefault="00BA7C34" w:rsidP="00941ED8">
      <w:pPr>
        <w:pStyle w:val="Akapitzlist"/>
        <w:numPr>
          <w:ilvl w:val="2"/>
          <w:numId w:val="20"/>
        </w:numPr>
        <w:ind w:left="714" w:hanging="357"/>
        <w:rPr>
          <w:sz w:val="24"/>
          <w:szCs w:val="24"/>
        </w:rPr>
      </w:pPr>
      <w:r w:rsidRPr="002A3D00">
        <w:rPr>
          <w:sz w:val="24"/>
          <w:szCs w:val="24"/>
        </w:rPr>
        <w:t>montaż zintegrowanych urządzeń wytwarzających na miejscu energię elektryczną, cieplną lub chłodniczą z odnawialnych źródeł energii, w tym między innymi paneli fotowoltaicznych i pomp ciepła;</w:t>
      </w:r>
    </w:p>
    <w:p w14:paraId="30F67C84" w14:textId="77777777" w:rsidR="00BA7C34" w:rsidRPr="002A3D00" w:rsidRDefault="00BA7C34" w:rsidP="00941ED8">
      <w:pPr>
        <w:pStyle w:val="Akapitzlist"/>
        <w:numPr>
          <w:ilvl w:val="2"/>
          <w:numId w:val="20"/>
        </w:numPr>
        <w:ind w:left="714" w:hanging="357"/>
        <w:rPr>
          <w:sz w:val="24"/>
          <w:szCs w:val="24"/>
        </w:rPr>
      </w:pPr>
      <w:r w:rsidRPr="002A3D00">
        <w:rPr>
          <w:sz w:val="24"/>
          <w:szCs w:val="24"/>
        </w:rPr>
        <w:t>instalacja urządzeń do magazynowania energii wytworzonej przez miejscowe instalacje wytwarzające energię ze źródeł odnawialnych. Urządzenia do magazynowania muszą odbierać co najmniej 75 % energii z bezpośrednio podłączonej instalacji wytwarzania energii ze źródeł odnawialnych w skali roku;</w:t>
      </w:r>
    </w:p>
    <w:p w14:paraId="3CF956AD" w14:textId="77777777" w:rsidR="00BA7C34" w:rsidRPr="002A3D00" w:rsidRDefault="00BA7C34" w:rsidP="00941ED8">
      <w:pPr>
        <w:pStyle w:val="Akapitzlist"/>
        <w:numPr>
          <w:ilvl w:val="2"/>
          <w:numId w:val="20"/>
        </w:numPr>
        <w:ind w:left="714" w:hanging="357"/>
        <w:rPr>
          <w:sz w:val="24"/>
          <w:szCs w:val="24"/>
        </w:rPr>
      </w:pPr>
      <w:r w:rsidRPr="002A3D00">
        <w:rPr>
          <w:sz w:val="24"/>
          <w:szCs w:val="24"/>
        </w:rPr>
        <w:t>budowa i instalacja infrastruktury ładowania przeznaczonej do użytku przez użytkowników budynku oraz infrastruktury powiązanej, takiej jak kanały, jeżeli obiekty parkingowe znajdują się wewnątrz budynku lub fizycznie sąsiadują z budynkiem;</w:t>
      </w:r>
    </w:p>
    <w:p w14:paraId="447F0C7B" w14:textId="77777777" w:rsidR="00BA7C34" w:rsidRPr="002A3D00" w:rsidRDefault="00BA7C34" w:rsidP="00941ED8">
      <w:pPr>
        <w:pStyle w:val="Akapitzlist"/>
        <w:numPr>
          <w:ilvl w:val="2"/>
          <w:numId w:val="20"/>
        </w:numPr>
        <w:ind w:left="714" w:hanging="357"/>
        <w:rPr>
          <w:sz w:val="24"/>
          <w:szCs w:val="24"/>
        </w:rPr>
      </w:pPr>
      <w:r w:rsidRPr="002A3D00">
        <w:rPr>
          <w:sz w:val="24"/>
          <w:szCs w:val="24"/>
        </w:rPr>
        <w:t xml:space="preserve">instalacja urządzeń do cyfryzacji budynku, w szczególności na rzecz zwiększenia jego gotowości do obsługi inteligentnych sieci, w tym </w:t>
      </w:r>
      <w:proofErr w:type="spellStart"/>
      <w:r w:rsidRPr="002A3D00">
        <w:rPr>
          <w:sz w:val="24"/>
          <w:szCs w:val="24"/>
        </w:rPr>
        <w:t>oprzewodowania</w:t>
      </w:r>
      <w:proofErr w:type="spellEnd"/>
      <w:r w:rsidRPr="002A3D00">
        <w:rPr>
          <w:sz w:val="24"/>
          <w:szCs w:val="24"/>
        </w:rPr>
        <w:t xml:space="preserve"> pasywnego </w:t>
      </w:r>
      <w:r w:rsidRPr="002A3D00">
        <w:rPr>
          <w:sz w:val="24"/>
          <w:szCs w:val="24"/>
        </w:rPr>
        <w:lastRenderedPageBreak/>
        <w:t xml:space="preserve">wewnątrz budynków lub okablowania strukturalnego na potrzeby sieci danych oraz dodatkowej części infrastruktury szerokopasmowej znajdującej się na terenie nieruchomości, do której budynek należy, z wyjątkiem </w:t>
      </w:r>
      <w:proofErr w:type="spellStart"/>
      <w:r w:rsidRPr="002A3D00">
        <w:rPr>
          <w:sz w:val="24"/>
          <w:szCs w:val="24"/>
        </w:rPr>
        <w:t>oprzewodowania</w:t>
      </w:r>
      <w:proofErr w:type="spellEnd"/>
      <w:r w:rsidRPr="002A3D00">
        <w:rPr>
          <w:sz w:val="24"/>
          <w:szCs w:val="24"/>
        </w:rPr>
        <w:t xml:space="preserve"> lub okablowania na potrzeby sieci danych poza nieruchomością;</w:t>
      </w:r>
    </w:p>
    <w:p w14:paraId="590E9829" w14:textId="77777777" w:rsidR="00BA7C34" w:rsidRPr="002A3D00" w:rsidRDefault="00BA7C34" w:rsidP="00941ED8">
      <w:pPr>
        <w:pStyle w:val="Akapitzlist"/>
        <w:numPr>
          <w:ilvl w:val="2"/>
          <w:numId w:val="20"/>
        </w:numPr>
        <w:ind w:left="714" w:hanging="357"/>
        <w:rPr>
          <w:sz w:val="24"/>
          <w:szCs w:val="24"/>
        </w:rPr>
      </w:pPr>
      <w:r w:rsidRPr="002A3D00">
        <w:rPr>
          <w:sz w:val="24"/>
          <w:szCs w:val="24"/>
        </w:rPr>
        <w:t>inwestycje w zielone dachy i wyposażenie do zatrzymywania i wykorzystywania wód deszczowych.</w:t>
      </w:r>
    </w:p>
    <w:p w14:paraId="1FF02FB1" w14:textId="77777777" w:rsidR="00BA7C34" w:rsidRDefault="00BA7C34" w:rsidP="00BA7C34">
      <w:pPr>
        <w:spacing w:after="120" w:line="276" w:lineRule="auto"/>
        <w:rPr>
          <w:rFonts w:eastAsia="Calibri" w:cstheme="minorHAnsi"/>
          <w:sz w:val="24"/>
          <w:szCs w:val="24"/>
        </w:rPr>
      </w:pPr>
      <w:r w:rsidRPr="00762814">
        <w:rPr>
          <w:rFonts w:eastAsia="Calibri" w:cstheme="minorHAnsi"/>
          <w:sz w:val="24"/>
          <w:szCs w:val="24"/>
        </w:rPr>
        <w:t>Za koszty inwestycji uznaje się koszty nabycia: gruntów; nieruchomości zabudowanych; środków trwałych innych niż nieruchomości; wartości niematerialnych i prawnych lub robót i materiałów budowlanych.</w:t>
      </w:r>
    </w:p>
    <w:p w14:paraId="5C626820" w14:textId="77777777" w:rsidR="00BA7C34" w:rsidRDefault="00BA7C34" w:rsidP="00BA7C34">
      <w:pPr>
        <w:spacing w:after="120" w:line="276" w:lineRule="auto"/>
        <w:rPr>
          <w:rFonts w:eastAsia="Calibri" w:cstheme="minorHAnsi"/>
          <w:b/>
          <w:bCs/>
          <w:sz w:val="24"/>
          <w:szCs w:val="24"/>
        </w:rPr>
      </w:pPr>
      <w:r>
        <w:rPr>
          <w:rFonts w:eastAsia="Calibri" w:cstheme="minorHAnsi"/>
          <w:b/>
          <w:bCs/>
          <w:sz w:val="24"/>
          <w:szCs w:val="24"/>
        </w:rPr>
        <w:t>K</w:t>
      </w:r>
      <w:r w:rsidRPr="00762814">
        <w:rPr>
          <w:rFonts w:eastAsia="Calibri" w:cstheme="minorHAnsi"/>
          <w:b/>
          <w:bCs/>
          <w:sz w:val="24"/>
          <w:szCs w:val="24"/>
        </w:rPr>
        <w:t xml:space="preserve">oszty te są objęte pomocą z art. </w:t>
      </w:r>
      <w:r>
        <w:rPr>
          <w:rFonts w:eastAsia="Calibri" w:cstheme="minorHAnsi"/>
          <w:b/>
          <w:bCs/>
          <w:sz w:val="24"/>
          <w:szCs w:val="24"/>
        </w:rPr>
        <w:t>38a</w:t>
      </w:r>
      <w:r w:rsidRPr="00762814">
        <w:rPr>
          <w:rFonts w:eastAsia="Calibri" w:cstheme="minorHAnsi"/>
          <w:b/>
          <w:bCs/>
          <w:sz w:val="24"/>
          <w:szCs w:val="24"/>
        </w:rPr>
        <w:t xml:space="preserve"> rozporządzenia Komisji (UE) nr 651/2014 (</w:t>
      </w:r>
      <w:r w:rsidRPr="0019541A">
        <w:rPr>
          <w:b/>
          <w:sz w:val="24"/>
        </w:rPr>
        <w:t>pomoc</w:t>
      </w:r>
      <w:r w:rsidRPr="00CA563B">
        <w:rPr>
          <w:rFonts w:eastAsiaTheme="majorEastAsia" w:cstheme="minorHAnsi"/>
          <w:b/>
          <w:sz w:val="24"/>
          <w:szCs w:val="24"/>
        </w:rPr>
        <w:t xml:space="preserve"> </w:t>
      </w:r>
      <w:r w:rsidRPr="0019541A">
        <w:rPr>
          <w:b/>
          <w:sz w:val="24"/>
        </w:rPr>
        <w:t>inwestycyjn</w:t>
      </w:r>
      <w:r>
        <w:rPr>
          <w:b/>
          <w:sz w:val="24"/>
        </w:rPr>
        <w:t xml:space="preserve">a </w:t>
      </w:r>
      <w:r w:rsidRPr="00CA563B">
        <w:rPr>
          <w:rFonts w:eastAsiaTheme="majorEastAsia" w:cstheme="minorHAnsi"/>
          <w:b/>
          <w:sz w:val="24"/>
          <w:szCs w:val="24"/>
        </w:rPr>
        <w:t xml:space="preserve">na środki wspierające efektywność energetyczną </w:t>
      </w:r>
      <w:r w:rsidRPr="0019541A">
        <w:rPr>
          <w:b/>
          <w:sz w:val="24"/>
        </w:rPr>
        <w:t>w</w:t>
      </w:r>
      <w:r w:rsidRPr="00CA563B">
        <w:rPr>
          <w:rFonts w:eastAsiaTheme="majorEastAsia" w:cstheme="minorHAnsi"/>
          <w:b/>
          <w:sz w:val="24"/>
          <w:szCs w:val="24"/>
        </w:rPr>
        <w:t xml:space="preserve"> budynkach</w:t>
      </w:r>
      <w:r w:rsidRPr="00762814">
        <w:rPr>
          <w:rFonts w:eastAsia="Calibri" w:cstheme="minorHAnsi"/>
          <w:b/>
          <w:bCs/>
          <w:sz w:val="24"/>
          <w:szCs w:val="24"/>
        </w:rPr>
        <w:t>)</w:t>
      </w:r>
      <w:r>
        <w:rPr>
          <w:rFonts w:eastAsia="Calibri" w:cstheme="minorHAnsi"/>
          <w:b/>
          <w:bCs/>
          <w:sz w:val="24"/>
          <w:szCs w:val="24"/>
        </w:rPr>
        <w:t>.</w:t>
      </w:r>
    </w:p>
    <w:p w14:paraId="464170C3" w14:textId="6E16048C" w:rsidR="00BA7C34" w:rsidRPr="0023028B" w:rsidRDefault="00BA7C34" w:rsidP="00BA7C34">
      <w:pPr>
        <w:pStyle w:val="Nagwek4"/>
        <w:spacing w:before="120" w:line="276" w:lineRule="auto"/>
        <w:ind w:left="709" w:hanging="709"/>
        <w:rPr>
          <w:rFonts w:asciiTheme="minorHAnsi" w:hAnsiTheme="minorHAnsi"/>
          <w:i w:val="0"/>
          <w:color w:val="auto"/>
          <w:sz w:val="28"/>
        </w:rPr>
      </w:pPr>
      <w:bookmarkStart w:id="545" w:name="_Toc202174422"/>
      <w:r w:rsidRPr="00C703C7">
        <w:rPr>
          <w:rFonts w:asciiTheme="minorHAnsi" w:hAnsiTheme="minorHAnsi" w:cstheme="minorHAnsi"/>
          <w:i w:val="0"/>
          <w:color w:val="auto"/>
          <w:sz w:val="28"/>
          <w:szCs w:val="28"/>
        </w:rPr>
        <w:t>7.3.</w:t>
      </w:r>
      <w:r w:rsidR="000E7E9C">
        <w:rPr>
          <w:rFonts w:asciiTheme="minorHAnsi" w:hAnsiTheme="minorHAnsi" w:cstheme="minorHAnsi"/>
          <w:i w:val="0"/>
          <w:color w:val="auto"/>
          <w:sz w:val="28"/>
          <w:szCs w:val="28"/>
        </w:rPr>
        <w:t>4</w:t>
      </w:r>
      <w:r w:rsidRPr="00637E7F">
        <w:rPr>
          <w:rFonts w:asciiTheme="minorHAnsi" w:hAnsiTheme="minorHAnsi" w:cstheme="minorHAnsi"/>
          <w:i w:val="0"/>
          <w:color w:val="auto"/>
          <w:sz w:val="28"/>
          <w:szCs w:val="28"/>
        </w:rPr>
        <w:t xml:space="preserve"> </w:t>
      </w:r>
      <w:r>
        <w:rPr>
          <w:rFonts w:asciiTheme="minorHAnsi" w:hAnsiTheme="minorHAnsi" w:cstheme="minorHAnsi"/>
          <w:i w:val="0"/>
          <w:color w:val="auto"/>
          <w:sz w:val="28"/>
          <w:szCs w:val="28"/>
        </w:rPr>
        <w:t>OZE, wodór i kogeneracja</w:t>
      </w:r>
      <w:r w:rsidRPr="00C703C7" w:rsidDel="00891C05">
        <w:rPr>
          <w:rFonts w:asciiTheme="minorHAnsi" w:hAnsiTheme="minorHAnsi" w:cstheme="minorHAnsi"/>
          <w:i w:val="0"/>
          <w:color w:val="auto"/>
          <w:sz w:val="28"/>
          <w:szCs w:val="28"/>
        </w:rPr>
        <w:t xml:space="preserve"> </w:t>
      </w:r>
      <w:r>
        <w:rPr>
          <w:rFonts w:asciiTheme="minorHAnsi" w:hAnsiTheme="minorHAnsi" w:cstheme="minorHAnsi"/>
          <w:i w:val="0"/>
          <w:color w:val="auto"/>
          <w:sz w:val="28"/>
          <w:szCs w:val="28"/>
        </w:rPr>
        <w:t>– całkowite</w:t>
      </w:r>
      <w:r w:rsidRPr="0018262B">
        <w:rPr>
          <w:rFonts w:asciiTheme="minorHAnsi" w:hAnsiTheme="minorHAnsi"/>
          <w:i w:val="0"/>
          <w:color w:val="auto"/>
          <w:sz w:val="28"/>
        </w:rPr>
        <w:t xml:space="preserve"> koszty </w:t>
      </w:r>
      <w:r>
        <w:rPr>
          <w:rFonts w:asciiTheme="minorHAnsi" w:hAnsiTheme="minorHAnsi" w:cstheme="minorHAnsi"/>
          <w:i w:val="0"/>
          <w:color w:val="auto"/>
          <w:sz w:val="28"/>
          <w:szCs w:val="28"/>
        </w:rPr>
        <w:t>inwestycji</w:t>
      </w:r>
      <w:bookmarkEnd w:id="545"/>
    </w:p>
    <w:p w14:paraId="578FBA36" w14:textId="77777777" w:rsidR="00BA7C34" w:rsidRPr="00227BB1" w:rsidRDefault="00BA7C34" w:rsidP="00BA7C34">
      <w:pPr>
        <w:spacing w:after="120" w:line="276" w:lineRule="auto"/>
        <w:rPr>
          <w:rFonts w:eastAsia="Calibri" w:cstheme="minorHAnsi"/>
          <w:sz w:val="24"/>
          <w:szCs w:val="24"/>
        </w:rPr>
      </w:pPr>
      <w:r w:rsidRPr="000E421A">
        <w:rPr>
          <w:sz w:val="24"/>
          <w:szCs w:val="24"/>
        </w:rPr>
        <w:t>Kosztami kwalifikowalnymi są całkowite koszty inwestycji bezpośrednio związane z</w:t>
      </w:r>
      <w:r>
        <w:rPr>
          <w:sz w:val="24"/>
          <w:szCs w:val="24"/>
        </w:rPr>
        <w:t xml:space="preserve"> </w:t>
      </w:r>
      <w:r w:rsidRPr="00300C21">
        <w:rPr>
          <w:rFonts w:eastAsia="Calibri" w:cstheme="minorHAnsi"/>
          <w:sz w:val="24"/>
          <w:szCs w:val="24"/>
        </w:rPr>
        <w:t>propagowaniem energii z odnawialnych źródeł energii, propagowaniem wodoru odnawialnego i wysokosprawnej kogeneracji</w:t>
      </w:r>
      <w:r>
        <w:rPr>
          <w:rFonts w:eastAsia="Calibri" w:cstheme="minorHAnsi"/>
          <w:sz w:val="24"/>
          <w:szCs w:val="24"/>
        </w:rPr>
        <w:t>.</w:t>
      </w:r>
    </w:p>
    <w:p w14:paraId="3FE78D7F" w14:textId="77777777" w:rsidR="00BA7C34" w:rsidRPr="00762814" w:rsidRDefault="00BA7C34" w:rsidP="00BA7C34">
      <w:pPr>
        <w:spacing w:after="120" w:line="276" w:lineRule="auto"/>
        <w:rPr>
          <w:rFonts w:eastAsia="Calibri" w:cstheme="minorHAnsi"/>
          <w:bCs/>
          <w:sz w:val="24"/>
          <w:szCs w:val="24"/>
        </w:rPr>
      </w:pPr>
      <w:r w:rsidRPr="00762814">
        <w:rPr>
          <w:rFonts w:eastAsia="Calibri" w:cstheme="minorHAnsi"/>
          <w:sz w:val="24"/>
          <w:szCs w:val="24"/>
        </w:rPr>
        <w:t xml:space="preserve">Pomoc przyznawana jest wyłącznie na </w:t>
      </w:r>
      <w:r>
        <w:rPr>
          <w:rFonts w:eastAsia="Calibri" w:cstheme="minorHAnsi"/>
          <w:sz w:val="24"/>
          <w:szCs w:val="24"/>
        </w:rPr>
        <w:t xml:space="preserve">moce </w:t>
      </w:r>
      <w:r w:rsidRPr="00762814">
        <w:rPr>
          <w:rFonts w:eastAsia="Calibri" w:cstheme="minorHAnsi"/>
          <w:sz w:val="24"/>
          <w:szCs w:val="24"/>
        </w:rPr>
        <w:t>now</w:t>
      </w:r>
      <w:r>
        <w:rPr>
          <w:rFonts w:eastAsia="Calibri" w:cstheme="minorHAnsi"/>
          <w:sz w:val="24"/>
          <w:szCs w:val="24"/>
        </w:rPr>
        <w:t>o zainstalowane lub odnowione.</w:t>
      </w:r>
    </w:p>
    <w:p w14:paraId="312C1FD9" w14:textId="77777777" w:rsidR="00BA7C34" w:rsidRDefault="00BA7C34" w:rsidP="00BA7C34">
      <w:pPr>
        <w:spacing w:after="120" w:line="276" w:lineRule="auto"/>
        <w:rPr>
          <w:rFonts w:eastAsia="Calibri" w:cstheme="minorHAnsi"/>
          <w:bCs/>
          <w:sz w:val="24"/>
          <w:szCs w:val="24"/>
        </w:rPr>
      </w:pPr>
      <w:r w:rsidRPr="008B611F">
        <w:rPr>
          <w:rFonts w:eastAsia="Calibri" w:cstheme="minorHAnsi"/>
          <w:bCs/>
          <w:sz w:val="24"/>
          <w:szCs w:val="24"/>
        </w:rPr>
        <w:t>Za koszty inwestycji uznaje się koszty nabycia: gruntów; nieruchomości zabudowanych; środków trwałych innych niż nieruchomości; wartości niematerialnych i prawnych lub robót i materiałów budowlanych.</w:t>
      </w:r>
    </w:p>
    <w:p w14:paraId="04CE9217" w14:textId="77777777" w:rsidR="00BA7C34" w:rsidRPr="00B12BC4" w:rsidRDefault="00BA7C34" w:rsidP="00BA7C34">
      <w:pPr>
        <w:spacing w:after="120" w:line="276" w:lineRule="auto"/>
        <w:rPr>
          <w:rFonts w:eastAsia="Calibri" w:cstheme="minorHAnsi"/>
          <w:b/>
          <w:bCs/>
          <w:sz w:val="24"/>
          <w:szCs w:val="24"/>
        </w:rPr>
      </w:pPr>
      <w:r>
        <w:rPr>
          <w:rFonts w:eastAsia="Calibri" w:cstheme="minorHAnsi"/>
          <w:b/>
          <w:bCs/>
          <w:sz w:val="24"/>
          <w:szCs w:val="24"/>
        </w:rPr>
        <w:t>K</w:t>
      </w:r>
      <w:r w:rsidRPr="00762814">
        <w:rPr>
          <w:rFonts w:eastAsia="Calibri" w:cstheme="minorHAnsi"/>
          <w:b/>
          <w:bCs/>
          <w:sz w:val="24"/>
          <w:szCs w:val="24"/>
        </w:rPr>
        <w:t xml:space="preserve">oszty te są objęte pomocą z art. </w:t>
      </w:r>
      <w:r>
        <w:rPr>
          <w:rFonts w:eastAsia="Calibri" w:cstheme="minorHAnsi"/>
          <w:b/>
          <w:bCs/>
          <w:sz w:val="24"/>
          <w:szCs w:val="24"/>
        </w:rPr>
        <w:t>41</w:t>
      </w:r>
      <w:r w:rsidRPr="00762814">
        <w:rPr>
          <w:rFonts w:eastAsia="Calibri" w:cstheme="minorHAnsi"/>
          <w:b/>
          <w:bCs/>
          <w:sz w:val="24"/>
          <w:szCs w:val="24"/>
        </w:rPr>
        <w:t xml:space="preserve"> rozporządzenia Komisji (UE) nr 651/2014 (</w:t>
      </w:r>
      <w:r w:rsidRPr="0019541A">
        <w:rPr>
          <w:b/>
          <w:sz w:val="24"/>
        </w:rPr>
        <w:t>pomoc</w:t>
      </w:r>
      <w:r w:rsidRPr="00CA563B">
        <w:rPr>
          <w:rFonts w:eastAsiaTheme="majorEastAsia" w:cstheme="minorHAnsi"/>
          <w:b/>
          <w:sz w:val="24"/>
          <w:szCs w:val="24"/>
        </w:rPr>
        <w:t xml:space="preserve"> </w:t>
      </w:r>
      <w:r w:rsidRPr="0019541A">
        <w:rPr>
          <w:b/>
          <w:sz w:val="24"/>
        </w:rPr>
        <w:t>inwestycyjn</w:t>
      </w:r>
      <w:r>
        <w:rPr>
          <w:b/>
          <w:sz w:val="24"/>
        </w:rPr>
        <w:t xml:space="preserve">a </w:t>
      </w:r>
      <w:r w:rsidRPr="00CA563B">
        <w:rPr>
          <w:rFonts w:eastAsiaTheme="majorEastAsia" w:cstheme="minorHAnsi"/>
          <w:b/>
          <w:sz w:val="24"/>
          <w:szCs w:val="24"/>
        </w:rPr>
        <w:t xml:space="preserve">na </w:t>
      </w:r>
      <w:r w:rsidRPr="0043250B">
        <w:rPr>
          <w:rFonts w:eastAsiaTheme="majorEastAsia" w:cstheme="minorHAnsi"/>
          <w:b/>
          <w:iCs/>
          <w:sz w:val="24"/>
          <w:szCs w:val="24"/>
        </w:rPr>
        <w:t>propagowanie energii ze źródeł odnawialnych, propagowanie wodoru odnawialnego i wysokosprawnej kogeneracji</w:t>
      </w:r>
      <w:r w:rsidRPr="00762814">
        <w:rPr>
          <w:rFonts w:eastAsia="Calibri" w:cstheme="minorHAnsi"/>
          <w:b/>
          <w:bCs/>
          <w:sz w:val="24"/>
          <w:szCs w:val="24"/>
        </w:rPr>
        <w:t>)</w:t>
      </w:r>
      <w:r>
        <w:rPr>
          <w:rFonts w:eastAsia="Calibri" w:cstheme="minorHAnsi"/>
          <w:b/>
          <w:bCs/>
          <w:sz w:val="24"/>
          <w:szCs w:val="24"/>
        </w:rPr>
        <w:t>.</w:t>
      </w:r>
    </w:p>
    <w:p w14:paraId="5DFB6570" w14:textId="37556021" w:rsidR="00B40473" w:rsidRPr="00753895" w:rsidRDefault="00BA7C34" w:rsidP="00B40473">
      <w:pPr>
        <w:pStyle w:val="Nagwek4"/>
        <w:spacing w:before="120" w:line="276" w:lineRule="auto"/>
        <w:ind w:left="709" w:hanging="709"/>
        <w:rPr>
          <w:rFonts w:eastAsia="Calibri" w:cstheme="minorHAnsi"/>
          <w:b/>
          <w:bCs/>
          <w:sz w:val="24"/>
          <w:szCs w:val="24"/>
        </w:rPr>
      </w:pPr>
      <w:bookmarkStart w:id="546" w:name="_Toc202174423"/>
      <w:r w:rsidRPr="001F0C86">
        <w:rPr>
          <w:rFonts w:asciiTheme="minorHAnsi" w:hAnsiTheme="minorHAnsi" w:cstheme="minorHAnsi"/>
          <w:i w:val="0"/>
          <w:color w:val="auto"/>
          <w:sz w:val="28"/>
          <w:szCs w:val="28"/>
        </w:rPr>
        <w:t>7.3.</w:t>
      </w:r>
      <w:r w:rsidR="000E7E9C">
        <w:rPr>
          <w:rFonts w:asciiTheme="minorHAnsi" w:hAnsiTheme="minorHAnsi" w:cstheme="minorHAnsi"/>
          <w:i w:val="0"/>
          <w:color w:val="auto"/>
          <w:sz w:val="28"/>
          <w:szCs w:val="28"/>
        </w:rPr>
        <w:t>5</w:t>
      </w:r>
      <w:r w:rsidR="001F0C86" w:rsidRPr="001F0C86">
        <w:rPr>
          <w:rFonts w:asciiTheme="minorHAnsi" w:hAnsiTheme="minorHAnsi" w:cstheme="minorHAnsi"/>
          <w:i w:val="0"/>
          <w:color w:val="auto"/>
          <w:sz w:val="28"/>
          <w:szCs w:val="28"/>
        </w:rPr>
        <w:t xml:space="preserve"> </w:t>
      </w:r>
      <w:r w:rsidR="00B40473" w:rsidRPr="001F0C86">
        <w:rPr>
          <w:rFonts w:asciiTheme="minorHAnsi" w:hAnsiTheme="minorHAnsi" w:cstheme="minorHAnsi"/>
          <w:i w:val="0"/>
          <w:iCs w:val="0"/>
          <w:color w:val="auto"/>
          <w:sz w:val="28"/>
          <w:szCs w:val="28"/>
        </w:rPr>
        <w:t>Gospodarowanie zasobami i GOZ</w:t>
      </w:r>
      <w:r w:rsidR="00B40473" w:rsidRPr="001F0C86">
        <w:rPr>
          <w:rFonts w:cstheme="minorHAnsi"/>
          <w:i w:val="0"/>
          <w:iCs w:val="0"/>
          <w:sz w:val="28"/>
          <w:szCs w:val="28"/>
        </w:rPr>
        <w:t xml:space="preserve"> </w:t>
      </w:r>
      <w:r w:rsidR="00B40473" w:rsidRPr="001F0C86">
        <w:rPr>
          <w:rFonts w:asciiTheme="minorHAnsi" w:hAnsiTheme="minorHAnsi" w:cstheme="minorHAnsi"/>
          <w:i w:val="0"/>
          <w:iCs w:val="0"/>
          <w:color w:val="auto"/>
          <w:sz w:val="28"/>
          <w:szCs w:val="28"/>
        </w:rPr>
        <w:t>- Dodatkowe koszty (scenariusz alternatywny</w:t>
      </w:r>
      <w:r w:rsidR="00B40473">
        <w:rPr>
          <w:rFonts w:asciiTheme="minorHAnsi" w:hAnsiTheme="minorHAnsi" w:cstheme="minorHAnsi"/>
          <w:i w:val="0"/>
          <w:iCs w:val="0"/>
          <w:color w:val="auto"/>
          <w:sz w:val="28"/>
          <w:szCs w:val="28"/>
        </w:rPr>
        <w:t>)</w:t>
      </w:r>
      <w:bookmarkEnd w:id="546"/>
    </w:p>
    <w:p w14:paraId="106F6F54" w14:textId="7D749E58" w:rsidR="00B40473" w:rsidRDefault="00B40473" w:rsidP="00B40473">
      <w:pPr>
        <w:spacing w:after="120" w:line="276" w:lineRule="auto"/>
        <w:rPr>
          <w:rFonts w:eastAsia="Calibri" w:cstheme="minorHAnsi"/>
          <w:sz w:val="24"/>
          <w:szCs w:val="24"/>
        </w:rPr>
      </w:pPr>
      <w:r>
        <w:rPr>
          <w:rFonts w:eastAsia="Calibri" w:cstheme="minorHAnsi"/>
          <w:sz w:val="24"/>
          <w:szCs w:val="24"/>
        </w:rPr>
        <w:t>W ramach tej kategorii kosztami kwalifikowalnymi są dodatkowe koszty inwestycji określane przez porównanie całkowitych kosztów inwestycji (rodzaje inwestycji wskazanych w art. 47 ust. 2 rozporządzenia Komisji (UE) nr</w:t>
      </w:r>
      <w:r>
        <w:rPr>
          <w:rFonts w:eastAsia="Calibri" w:cstheme="minorHAnsi"/>
          <w:b/>
          <w:bCs/>
          <w:sz w:val="24"/>
          <w:szCs w:val="24"/>
        </w:rPr>
        <w:t xml:space="preserve"> </w:t>
      </w:r>
      <w:r>
        <w:rPr>
          <w:rFonts w:eastAsia="Calibri" w:cstheme="minorHAnsi"/>
          <w:sz w:val="24"/>
          <w:szCs w:val="24"/>
        </w:rPr>
        <w:t xml:space="preserve">651/2014) z kosztami </w:t>
      </w:r>
      <w:r w:rsidR="007F62ED">
        <w:rPr>
          <w:rFonts w:eastAsia="Calibri" w:cstheme="minorHAnsi"/>
          <w:sz w:val="24"/>
          <w:szCs w:val="24"/>
        </w:rPr>
        <w:t xml:space="preserve">projektu </w:t>
      </w:r>
      <w:r>
        <w:rPr>
          <w:rFonts w:eastAsia="Calibri" w:cstheme="minorHAnsi"/>
          <w:sz w:val="24"/>
          <w:szCs w:val="24"/>
        </w:rPr>
        <w:t>lub działania mniej przyjaznego dla środowiska, mogącego stanowić jeden z poniższych scenariuszy alternatywnych:</w:t>
      </w:r>
    </w:p>
    <w:p w14:paraId="1E0EA3BD" w14:textId="77777777" w:rsidR="00B40473" w:rsidRDefault="00B40473" w:rsidP="00941ED8">
      <w:pPr>
        <w:pStyle w:val="Akapitzlist"/>
        <w:numPr>
          <w:ilvl w:val="3"/>
          <w:numId w:val="25"/>
        </w:numPr>
        <w:spacing w:after="0" w:line="276" w:lineRule="auto"/>
        <w:ind w:left="714" w:hanging="357"/>
        <w:rPr>
          <w:rFonts w:eastAsia="Times New Roman" w:cstheme="minorHAnsi"/>
          <w:sz w:val="24"/>
          <w:szCs w:val="20"/>
          <w:lang w:eastAsia="pl-PL"/>
        </w:rPr>
      </w:pPr>
      <w:r>
        <w:rPr>
          <w:rFonts w:eastAsia="Times New Roman" w:cstheme="minorHAnsi"/>
          <w:sz w:val="24"/>
          <w:szCs w:val="20"/>
          <w:lang w:eastAsia="pl-PL"/>
        </w:rPr>
        <w:t>przeprowadzenie porównywalnej inwestycji, która w wiarygodny sposób zostałaby zrealizowana bez pomocy i która nie umożliwia osiągnięcia tego samego poziomu efektywnej gospodarki zasobami;</w:t>
      </w:r>
    </w:p>
    <w:p w14:paraId="32AC424F" w14:textId="77777777" w:rsidR="00B40473" w:rsidRDefault="00B40473" w:rsidP="00941ED8">
      <w:pPr>
        <w:pStyle w:val="Akapitzlist"/>
        <w:numPr>
          <w:ilvl w:val="3"/>
          <w:numId w:val="25"/>
        </w:numPr>
        <w:spacing w:after="0" w:line="276" w:lineRule="auto"/>
        <w:ind w:left="714" w:hanging="357"/>
        <w:rPr>
          <w:rFonts w:eastAsia="Times New Roman" w:cstheme="minorHAnsi"/>
          <w:sz w:val="24"/>
          <w:szCs w:val="20"/>
          <w:lang w:eastAsia="pl-PL"/>
        </w:rPr>
      </w:pPr>
      <w:r>
        <w:rPr>
          <w:rFonts w:eastAsia="Times New Roman" w:cstheme="minorHAnsi"/>
          <w:sz w:val="24"/>
          <w:szCs w:val="20"/>
          <w:lang w:eastAsia="pl-PL"/>
        </w:rPr>
        <w:t>przeprowadzenie inwestycji zakładającej przetwarzanie odpadów zgodnie ze sposobem przetwarzania, który znajduje się niżej hierarchii postępowania z odpadami określonej w art. 4 ust. 1 dyrektywy 2008/98</w:t>
      </w:r>
      <w:r>
        <w:rPr>
          <w:rFonts w:eastAsia="Times New Roman" w:cstheme="minorHAnsi"/>
          <w:bCs/>
          <w:sz w:val="24"/>
          <w:szCs w:val="20"/>
          <w:lang w:eastAsia="pl-PL"/>
        </w:rPr>
        <w:t>/WE</w:t>
      </w:r>
      <w:r>
        <w:rPr>
          <w:rFonts w:eastAsia="Times New Roman" w:cstheme="minorHAnsi"/>
          <w:sz w:val="24"/>
          <w:szCs w:val="20"/>
          <w:lang w:eastAsia="pl-PL"/>
        </w:rPr>
        <w:t xml:space="preserve">, lub przetwarzanie odpadów, innych produktów, materiałów lub substancji w mniej </w:t>
      </w:r>
      <w:proofErr w:type="spellStart"/>
      <w:r>
        <w:rPr>
          <w:rFonts w:eastAsia="Times New Roman" w:cstheme="minorHAnsi"/>
          <w:sz w:val="24"/>
          <w:szCs w:val="20"/>
          <w:lang w:eastAsia="pl-PL"/>
        </w:rPr>
        <w:t>zasobooszczędny</w:t>
      </w:r>
      <w:proofErr w:type="spellEnd"/>
      <w:r>
        <w:rPr>
          <w:rFonts w:eastAsia="Times New Roman" w:cstheme="minorHAnsi"/>
          <w:sz w:val="24"/>
          <w:szCs w:val="20"/>
          <w:lang w:eastAsia="pl-PL"/>
        </w:rPr>
        <w:t xml:space="preserve"> sposób;</w:t>
      </w:r>
    </w:p>
    <w:p w14:paraId="15789077" w14:textId="519C6B5A" w:rsidR="00B40473" w:rsidRPr="00151815" w:rsidRDefault="00B40473" w:rsidP="002808B5">
      <w:pPr>
        <w:pStyle w:val="Akapitzlist"/>
        <w:numPr>
          <w:ilvl w:val="3"/>
          <w:numId w:val="25"/>
        </w:numPr>
        <w:spacing w:after="0" w:line="276" w:lineRule="auto"/>
        <w:ind w:left="714" w:hanging="357"/>
        <w:rPr>
          <w:rFonts w:eastAsia="Times New Roman" w:cstheme="minorHAnsi"/>
          <w:sz w:val="24"/>
          <w:szCs w:val="20"/>
          <w:lang w:eastAsia="pl-PL"/>
        </w:rPr>
      </w:pPr>
      <w:r>
        <w:rPr>
          <w:rFonts w:eastAsia="Times New Roman" w:cstheme="minorHAnsi"/>
          <w:sz w:val="24"/>
          <w:szCs w:val="20"/>
          <w:lang w:eastAsia="pl-PL"/>
        </w:rPr>
        <w:lastRenderedPageBreak/>
        <w:t xml:space="preserve">przeprowadzenie inwestycji zakładającej </w:t>
      </w:r>
      <w:r w:rsidR="002238A4">
        <w:rPr>
          <w:rFonts w:eastAsia="Times New Roman" w:cstheme="minorHAnsi"/>
          <w:sz w:val="24"/>
          <w:szCs w:val="20"/>
          <w:lang w:eastAsia="pl-PL"/>
        </w:rPr>
        <w:t xml:space="preserve">tradycyjny </w:t>
      </w:r>
      <w:r>
        <w:rPr>
          <w:rFonts w:eastAsia="Times New Roman" w:cstheme="minorHAnsi"/>
          <w:sz w:val="24"/>
          <w:szCs w:val="20"/>
          <w:lang w:eastAsia="pl-PL"/>
        </w:rPr>
        <w:t xml:space="preserve">proces produkcji </w:t>
      </w:r>
      <w:r w:rsidR="002808B5">
        <w:rPr>
          <w:rFonts w:eastAsia="Times New Roman" w:cstheme="minorHAnsi"/>
          <w:sz w:val="24"/>
          <w:szCs w:val="20"/>
          <w:lang w:eastAsia="pl-PL"/>
        </w:rPr>
        <w:t xml:space="preserve">z wykorzystaniem surowca pierwotnego lub wsadu, jeśli otrzymany produkt wtórny </w:t>
      </w:r>
      <w:r w:rsidRPr="00151815">
        <w:rPr>
          <w:rFonts w:eastAsia="Times New Roman" w:cstheme="minorHAnsi"/>
          <w:sz w:val="24"/>
          <w:szCs w:val="20"/>
          <w:lang w:eastAsia="pl-PL"/>
        </w:rPr>
        <w:t xml:space="preserve"> (ponownie użyty lub odzyskany) można uznać za technicznie i ekonomicznie wymienny z surowcem lub produktem pierwotnym.</w:t>
      </w:r>
    </w:p>
    <w:p w14:paraId="4D4AEECF" w14:textId="316964BF" w:rsidR="00B40473" w:rsidRDefault="00B40473" w:rsidP="00D360ED">
      <w:pPr>
        <w:spacing w:before="120" w:after="120" w:line="276" w:lineRule="auto"/>
        <w:rPr>
          <w:rFonts w:eastAsia="Times New Roman" w:cstheme="minorHAnsi"/>
          <w:sz w:val="24"/>
          <w:szCs w:val="20"/>
          <w:lang w:eastAsia="pl-PL"/>
        </w:rPr>
      </w:pPr>
      <w:r w:rsidRPr="004E035E">
        <w:rPr>
          <w:rFonts w:eastAsia="Times New Roman" w:cstheme="minorHAnsi"/>
          <w:sz w:val="24"/>
          <w:szCs w:val="20"/>
          <w:lang w:eastAsia="pl-PL"/>
        </w:rPr>
        <w:t>Scenariusz alternatywny dot. lit. i oraz iii musi stanowić</w:t>
      </w:r>
      <w:r>
        <w:rPr>
          <w:rFonts w:eastAsia="Times New Roman" w:cstheme="minorHAnsi"/>
          <w:sz w:val="24"/>
          <w:szCs w:val="20"/>
          <w:lang w:eastAsia="pl-PL"/>
        </w:rPr>
        <w:t xml:space="preserve"> inwestycję o porównywalnej zdolności produkcyjnej i porównywalnym cyklu życia, zgodną z już obowiązującymi normami unijnymi. Scenariusz alternatywny powinien być wiarygodny w kontekście wymogów prawnych, warunków rynkowych</w:t>
      </w:r>
      <w:r w:rsidR="00894C7C">
        <w:rPr>
          <w:rFonts w:eastAsia="Times New Roman" w:cstheme="minorHAnsi"/>
          <w:sz w:val="24"/>
          <w:szCs w:val="20"/>
          <w:lang w:eastAsia="pl-PL"/>
        </w:rPr>
        <w:t xml:space="preserve"> i bodźców</w:t>
      </w:r>
      <w:r>
        <w:rPr>
          <w:rFonts w:eastAsia="Times New Roman" w:cstheme="minorHAnsi"/>
          <w:sz w:val="24"/>
          <w:szCs w:val="20"/>
          <w:lang w:eastAsia="pl-PL"/>
        </w:rPr>
        <w:t>.</w:t>
      </w:r>
    </w:p>
    <w:p w14:paraId="4EB86346" w14:textId="1DAE8DBE" w:rsidR="00B40473" w:rsidRDefault="00B40473" w:rsidP="00D360ED">
      <w:pPr>
        <w:spacing w:after="120"/>
        <w:rPr>
          <w:rFonts w:eastAsia="Calibri" w:cstheme="minorHAnsi"/>
          <w:sz w:val="24"/>
          <w:szCs w:val="24"/>
        </w:rPr>
      </w:pPr>
      <w:r>
        <w:rPr>
          <w:rFonts w:eastAsia="Calibri" w:cstheme="minorHAnsi"/>
          <w:sz w:val="24"/>
          <w:szCs w:val="24"/>
        </w:rPr>
        <w:t xml:space="preserve">Kosztami kwalifikowalnymi będą koszty stanowiące różnicę wynikającą z porównania planowanej w ramach wniosku o dofinansowanie inwestycji do kosztów inwestycji alternatywnej. Intensywność pomocy, o której mowa </w:t>
      </w:r>
      <w:r w:rsidRPr="00AD05CE">
        <w:rPr>
          <w:rFonts w:eastAsia="Calibri" w:cstheme="minorHAnsi"/>
          <w:sz w:val="24"/>
          <w:szCs w:val="24"/>
        </w:rPr>
        <w:t xml:space="preserve">w pkt. 7.2 pkt 1 lit </w:t>
      </w:r>
      <w:r w:rsidR="00AD05CE" w:rsidRPr="00753895">
        <w:rPr>
          <w:rFonts w:eastAsia="Calibri" w:cstheme="minorHAnsi"/>
          <w:sz w:val="24"/>
          <w:szCs w:val="24"/>
        </w:rPr>
        <w:t>e</w:t>
      </w:r>
      <w:r w:rsidRPr="00AD05CE">
        <w:rPr>
          <w:rFonts w:eastAsia="Calibri" w:cstheme="minorHAnsi"/>
          <w:sz w:val="24"/>
          <w:szCs w:val="24"/>
        </w:rPr>
        <w:t>) dotyczy</w:t>
      </w:r>
      <w:r>
        <w:rPr>
          <w:rFonts w:eastAsia="Calibri" w:cstheme="minorHAnsi"/>
          <w:sz w:val="24"/>
          <w:szCs w:val="24"/>
        </w:rPr>
        <w:t xml:space="preserve"> w tym przypadku wskazanej wyżej różnicy w kosztach.</w:t>
      </w:r>
    </w:p>
    <w:p w14:paraId="12C559BC" w14:textId="77777777" w:rsidR="00B40473" w:rsidRDefault="00B40473" w:rsidP="00B40473">
      <w:pPr>
        <w:spacing w:after="120" w:line="276" w:lineRule="auto"/>
        <w:rPr>
          <w:rFonts w:eastAsia="Calibri" w:cstheme="minorHAnsi"/>
          <w:sz w:val="24"/>
          <w:szCs w:val="24"/>
        </w:rPr>
      </w:pPr>
      <w:r>
        <w:rPr>
          <w:rFonts w:eastAsia="Calibri" w:cstheme="minorHAnsi"/>
          <w:sz w:val="24"/>
          <w:szCs w:val="24"/>
        </w:rPr>
        <w:t xml:space="preserve">Za koszty inwestycji uznaje się koszty nabycia: gruntów; nieruchomości zabudowanych; środków trwałych innych niż nieruchomości; wartości niematerialnych i prawnych lub robót </w:t>
      </w:r>
      <w:r>
        <w:rPr>
          <w:rFonts w:eastAsia="Calibri" w:cstheme="minorHAnsi"/>
          <w:sz w:val="24"/>
          <w:szCs w:val="24"/>
        </w:rPr>
        <w:br/>
        <w:t xml:space="preserve">i materiałów budowlanych. </w:t>
      </w:r>
    </w:p>
    <w:p w14:paraId="38104AF4" w14:textId="78CF3C6D" w:rsidR="00B40473" w:rsidRDefault="00B40473" w:rsidP="00B40473">
      <w:pPr>
        <w:pStyle w:val="Nagwek4"/>
        <w:spacing w:before="120" w:line="276" w:lineRule="auto"/>
        <w:ind w:left="709" w:hanging="709"/>
        <w:rPr>
          <w:rFonts w:asciiTheme="minorHAnsi" w:hAnsiTheme="minorHAnsi" w:cstheme="minorHAnsi"/>
          <w:i w:val="0"/>
          <w:color w:val="auto"/>
          <w:sz w:val="28"/>
          <w:szCs w:val="28"/>
        </w:rPr>
      </w:pPr>
      <w:bookmarkStart w:id="547" w:name="_Toc193725948"/>
      <w:bookmarkStart w:id="548" w:name="_Toc202174424"/>
      <w:r>
        <w:rPr>
          <w:rFonts w:asciiTheme="minorHAnsi" w:hAnsiTheme="minorHAnsi" w:cstheme="minorHAnsi"/>
          <w:i w:val="0"/>
          <w:iCs w:val="0"/>
          <w:color w:val="auto"/>
          <w:sz w:val="28"/>
          <w:szCs w:val="28"/>
        </w:rPr>
        <w:t>7.3.</w:t>
      </w:r>
      <w:r w:rsidR="000E7E9C">
        <w:rPr>
          <w:rFonts w:asciiTheme="minorHAnsi" w:hAnsiTheme="minorHAnsi" w:cstheme="minorHAnsi"/>
          <w:i w:val="0"/>
          <w:iCs w:val="0"/>
          <w:color w:val="auto"/>
          <w:sz w:val="28"/>
          <w:szCs w:val="28"/>
        </w:rPr>
        <w:t>6</w:t>
      </w:r>
      <w:r>
        <w:rPr>
          <w:rFonts w:asciiTheme="minorHAnsi" w:hAnsiTheme="minorHAnsi" w:cstheme="minorHAnsi"/>
          <w:i w:val="0"/>
          <w:iCs w:val="0"/>
          <w:color w:val="auto"/>
          <w:sz w:val="28"/>
          <w:szCs w:val="28"/>
        </w:rPr>
        <w:t xml:space="preserve"> Gospodarowanie zasobami i GOZ - Dodatkowe komponenty w istniejącym zakładzie</w:t>
      </w:r>
      <w:bookmarkEnd w:id="547"/>
      <w:bookmarkEnd w:id="548"/>
    </w:p>
    <w:p w14:paraId="64183B52" w14:textId="77777777" w:rsidR="00B40473" w:rsidRDefault="00B40473" w:rsidP="00B40473">
      <w:pPr>
        <w:spacing w:after="120" w:line="276" w:lineRule="auto"/>
        <w:rPr>
          <w:rFonts w:eastAsia="Calibri" w:cstheme="minorHAnsi"/>
          <w:sz w:val="24"/>
          <w:szCs w:val="24"/>
        </w:rPr>
      </w:pPr>
      <w:r>
        <w:rPr>
          <w:rFonts w:eastAsia="Calibri" w:cstheme="minorHAnsi"/>
          <w:sz w:val="24"/>
          <w:szCs w:val="24"/>
        </w:rPr>
        <w:t xml:space="preserve">W ramach tej kategorii za koszty kwalifikowalne uznaje się całkowite koszty inwestycji polegającej na instalacji dodatkowych komponentów w już istniejącym zakładzie, dla której nie istnieje inwestycja alternatywna mniej przyjazna dla środowiska. </w:t>
      </w:r>
    </w:p>
    <w:p w14:paraId="10A899F9" w14:textId="77777777" w:rsidR="00B40473" w:rsidRDefault="00B40473" w:rsidP="00946D7F">
      <w:pPr>
        <w:spacing w:after="120" w:line="276" w:lineRule="auto"/>
        <w:rPr>
          <w:rFonts w:eastAsia="Calibri" w:cstheme="minorHAnsi"/>
          <w:bCs/>
          <w:sz w:val="24"/>
          <w:szCs w:val="24"/>
        </w:rPr>
      </w:pPr>
      <w:r>
        <w:rPr>
          <w:rFonts w:eastAsia="Calibri" w:cstheme="minorHAnsi"/>
          <w:sz w:val="24"/>
          <w:szCs w:val="24"/>
        </w:rPr>
        <w:t xml:space="preserve">Całkowite koszty inwestycji będą uznane za kwalifikowane w ramach tej kategorii również w sytuacji, gdy Wnioskodawca może wykazać we wniosku o dofinansowanie, że w przypadku braku pomocy publicznej udzielanej zgodnie z art. 47 </w:t>
      </w:r>
      <w:r>
        <w:rPr>
          <w:rFonts w:eastAsia="Calibri" w:cstheme="minorHAnsi"/>
          <w:bCs/>
          <w:sz w:val="24"/>
          <w:szCs w:val="24"/>
        </w:rPr>
        <w:t>rozporządzenia Komisji (UE) nr 651/2014, inwestycja nie zostałaby zrealizowana.</w:t>
      </w:r>
    </w:p>
    <w:p w14:paraId="2F27AF7D" w14:textId="77777777" w:rsidR="00B40473" w:rsidRDefault="00B40473" w:rsidP="00946D7F">
      <w:pPr>
        <w:spacing w:after="120" w:line="276" w:lineRule="auto"/>
        <w:rPr>
          <w:rFonts w:eastAsia="Calibri" w:cstheme="minorHAnsi"/>
          <w:sz w:val="24"/>
          <w:szCs w:val="24"/>
        </w:rPr>
      </w:pPr>
      <w:r>
        <w:rPr>
          <w:rFonts w:eastAsia="Calibri" w:cstheme="minorHAnsi"/>
          <w:sz w:val="24"/>
          <w:szCs w:val="24"/>
        </w:rPr>
        <w:t xml:space="preserve">Za koszty inwestycji uznaje się koszty nabycia: gruntów; nieruchomości zabudowanych; środków trwałych innych niż nieruchomości; wartości niematerialnych i prawnych lub robót </w:t>
      </w:r>
      <w:r>
        <w:rPr>
          <w:rFonts w:eastAsia="Calibri" w:cstheme="minorHAnsi"/>
          <w:sz w:val="24"/>
          <w:szCs w:val="24"/>
        </w:rPr>
        <w:br/>
        <w:t xml:space="preserve">i materiałów budowlanych. </w:t>
      </w:r>
    </w:p>
    <w:p w14:paraId="31C36115" w14:textId="77777777" w:rsidR="00B40473" w:rsidRDefault="00B40473" w:rsidP="00BA7C34">
      <w:pPr>
        <w:spacing w:line="276" w:lineRule="auto"/>
        <w:rPr>
          <w:rFonts w:eastAsia="Calibri" w:cstheme="minorHAnsi"/>
          <w:sz w:val="24"/>
          <w:szCs w:val="24"/>
        </w:rPr>
      </w:pPr>
    </w:p>
    <w:p w14:paraId="5EAC35B5" w14:textId="0DBAC495" w:rsidR="00447024" w:rsidRDefault="00447024" w:rsidP="00151815">
      <w:pPr>
        <w:pStyle w:val="Nagwek2"/>
        <w:pageBreakBefore/>
        <w:numPr>
          <w:ilvl w:val="0"/>
          <w:numId w:val="57"/>
        </w:numPr>
        <w:tabs>
          <w:tab w:val="left" w:pos="5954"/>
        </w:tabs>
        <w:spacing w:before="240" w:after="120" w:line="276" w:lineRule="auto"/>
        <w:rPr>
          <w:rFonts w:asciiTheme="minorHAnsi" w:hAnsiTheme="minorHAnsi" w:cstheme="minorHAnsi"/>
          <w:b/>
          <w:color w:val="auto"/>
          <w:sz w:val="36"/>
          <w:szCs w:val="36"/>
        </w:rPr>
      </w:pPr>
      <w:bookmarkStart w:id="549" w:name="_Toc202174425"/>
      <w:r w:rsidRPr="00753895">
        <w:rPr>
          <w:rFonts w:asciiTheme="minorHAnsi" w:hAnsiTheme="minorHAnsi" w:cstheme="minorHAnsi"/>
          <w:b/>
          <w:color w:val="auto"/>
          <w:sz w:val="36"/>
          <w:szCs w:val="36"/>
        </w:rPr>
        <w:lastRenderedPageBreak/>
        <w:t xml:space="preserve">Pomoc </w:t>
      </w:r>
      <w:r>
        <w:rPr>
          <w:rFonts w:asciiTheme="minorHAnsi" w:hAnsiTheme="minorHAnsi" w:cstheme="minorHAnsi"/>
          <w:b/>
          <w:color w:val="auto"/>
          <w:sz w:val="36"/>
          <w:szCs w:val="36"/>
        </w:rPr>
        <w:t xml:space="preserve">de </w:t>
      </w:r>
      <w:proofErr w:type="spellStart"/>
      <w:r>
        <w:rPr>
          <w:rFonts w:asciiTheme="minorHAnsi" w:hAnsiTheme="minorHAnsi" w:cstheme="minorHAnsi"/>
          <w:b/>
          <w:color w:val="auto"/>
          <w:sz w:val="36"/>
          <w:szCs w:val="36"/>
        </w:rPr>
        <w:t>minimis</w:t>
      </w:r>
      <w:bookmarkEnd w:id="549"/>
      <w:proofErr w:type="spellEnd"/>
    </w:p>
    <w:p w14:paraId="4BFAEC21" w14:textId="19EBEE28" w:rsidR="006A63B6" w:rsidRPr="00151815" w:rsidRDefault="006A63B6" w:rsidP="00151815">
      <w:pPr>
        <w:pStyle w:val="Nagwek3"/>
        <w:spacing w:before="240" w:line="276" w:lineRule="auto"/>
        <w:rPr>
          <w:rFonts w:cstheme="minorHAnsi"/>
          <w:sz w:val="32"/>
        </w:rPr>
      </w:pPr>
      <w:bookmarkStart w:id="550" w:name="_Toc202174426"/>
      <w:r w:rsidRPr="00151815">
        <w:rPr>
          <w:rFonts w:asciiTheme="minorHAnsi" w:hAnsiTheme="minorHAnsi" w:cstheme="minorHAnsi"/>
          <w:color w:val="auto"/>
          <w:sz w:val="32"/>
        </w:rPr>
        <w:t xml:space="preserve">8.1 Kategorie wydatków </w:t>
      </w:r>
      <w:r>
        <w:rPr>
          <w:rFonts w:asciiTheme="minorHAnsi" w:hAnsiTheme="minorHAnsi" w:cstheme="minorHAnsi"/>
          <w:color w:val="auto"/>
          <w:sz w:val="32"/>
        </w:rPr>
        <w:t xml:space="preserve">objętych pomocą de </w:t>
      </w:r>
      <w:proofErr w:type="spellStart"/>
      <w:r>
        <w:rPr>
          <w:rFonts w:asciiTheme="minorHAnsi" w:hAnsiTheme="minorHAnsi" w:cstheme="minorHAnsi"/>
          <w:color w:val="auto"/>
          <w:sz w:val="32"/>
        </w:rPr>
        <w:t>minimis</w:t>
      </w:r>
      <w:bookmarkEnd w:id="550"/>
      <w:proofErr w:type="spellEnd"/>
    </w:p>
    <w:p w14:paraId="0933B728" w14:textId="1926B0F1" w:rsidR="006A63B6" w:rsidRDefault="006A63B6" w:rsidP="006A63B6">
      <w:pPr>
        <w:spacing w:after="0" w:line="276" w:lineRule="auto"/>
        <w:rPr>
          <w:rFonts w:cstheme="minorHAnsi"/>
          <w:sz w:val="24"/>
          <w:szCs w:val="24"/>
        </w:rPr>
      </w:pPr>
      <w:r w:rsidRPr="00762814">
        <w:rPr>
          <w:rFonts w:cstheme="minorHAnsi"/>
          <w:sz w:val="24"/>
          <w:szCs w:val="24"/>
        </w:rPr>
        <w:t xml:space="preserve">Wnioskodawca może uzyskać wsparcie w </w:t>
      </w:r>
      <w:r>
        <w:rPr>
          <w:rFonts w:cstheme="minorHAnsi"/>
          <w:sz w:val="24"/>
          <w:szCs w:val="24"/>
        </w:rPr>
        <w:t>projekcie</w:t>
      </w:r>
      <w:r w:rsidRPr="00762814">
        <w:rPr>
          <w:rFonts w:cstheme="minorHAnsi"/>
          <w:sz w:val="24"/>
          <w:szCs w:val="24"/>
        </w:rPr>
        <w:t xml:space="preserve"> na podstawie</w:t>
      </w:r>
      <w:r>
        <w:rPr>
          <w:rFonts w:cstheme="minorHAnsi"/>
          <w:sz w:val="24"/>
          <w:szCs w:val="24"/>
        </w:rPr>
        <w:t xml:space="preserve"> </w:t>
      </w:r>
      <w:r w:rsidRPr="00151815">
        <w:rPr>
          <w:rFonts w:cstheme="minorHAnsi"/>
          <w:sz w:val="24"/>
          <w:szCs w:val="24"/>
        </w:rPr>
        <w:t xml:space="preserve">rozporządzenia Komisji </w:t>
      </w:r>
      <w:r w:rsidR="00A62ADD">
        <w:rPr>
          <w:rFonts w:cstheme="minorHAnsi"/>
          <w:sz w:val="24"/>
          <w:szCs w:val="24"/>
        </w:rPr>
        <w:t>(</w:t>
      </w:r>
      <w:r w:rsidRPr="00151815">
        <w:rPr>
          <w:rFonts w:cstheme="minorHAnsi"/>
          <w:sz w:val="24"/>
          <w:szCs w:val="24"/>
        </w:rPr>
        <w:t>UE</w:t>
      </w:r>
      <w:r w:rsidR="00A62ADD">
        <w:rPr>
          <w:rFonts w:cstheme="minorHAnsi"/>
          <w:sz w:val="24"/>
          <w:szCs w:val="24"/>
        </w:rPr>
        <w:t>)</w:t>
      </w:r>
      <w:r w:rsidRPr="00151815">
        <w:rPr>
          <w:rFonts w:cstheme="minorHAnsi"/>
          <w:sz w:val="24"/>
          <w:szCs w:val="24"/>
        </w:rPr>
        <w:t xml:space="preserve"> </w:t>
      </w:r>
      <w:r w:rsidRPr="00151815">
        <w:rPr>
          <w:rFonts w:cstheme="minorHAnsi"/>
          <w:bCs/>
          <w:sz w:val="24"/>
          <w:szCs w:val="24"/>
        </w:rPr>
        <w:t>2023/2831</w:t>
      </w:r>
      <w:r w:rsidRPr="00151815">
        <w:rPr>
          <w:rFonts w:cstheme="minorHAnsi"/>
          <w:b/>
          <w:bCs/>
          <w:sz w:val="24"/>
          <w:szCs w:val="24"/>
        </w:rPr>
        <w:t xml:space="preserve"> </w:t>
      </w:r>
      <w:r w:rsidRPr="00151815">
        <w:rPr>
          <w:rFonts w:cstheme="minorHAnsi"/>
          <w:sz w:val="24"/>
          <w:szCs w:val="24"/>
        </w:rPr>
        <w:t xml:space="preserve">jako pomoc de </w:t>
      </w:r>
      <w:proofErr w:type="spellStart"/>
      <w:r w:rsidRPr="00151815">
        <w:rPr>
          <w:rFonts w:cstheme="minorHAnsi"/>
          <w:sz w:val="24"/>
          <w:szCs w:val="24"/>
        </w:rPr>
        <w:t>minimis</w:t>
      </w:r>
      <w:proofErr w:type="spellEnd"/>
      <w:r>
        <w:rPr>
          <w:rFonts w:cstheme="minorHAnsi"/>
          <w:sz w:val="24"/>
          <w:szCs w:val="24"/>
        </w:rPr>
        <w:t xml:space="preserve"> na </w:t>
      </w:r>
      <w:r w:rsidR="00A81590">
        <w:rPr>
          <w:rFonts w:cstheme="minorHAnsi"/>
          <w:sz w:val="24"/>
          <w:szCs w:val="24"/>
        </w:rPr>
        <w:t>wydatki</w:t>
      </w:r>
      <w:r w:rsidR="00CD6767">
        <w:rPr>
          <w:rFonts w:cstheme="minorHAnsi"/>
          <w:sz w:val="24"/>
          <w:szCs w:val="24"/>
        </w:rPr>
        <w:t xml:space="preserve"> dotyczące</w:t>
      </w:r>
      <w:r>
        <w:rPr>
          <w:rFonts w:cstheme="minorHAnsi"/>
          <w:sz w:val="24"/>
          <w:szCs w:val="24"/>
        </w:rPr>
        <w:t>:</w:t>
      </w:r>
    </w:p>
    <w:p w14:paraId="7CA708FD" w14:textId="201E8DA5" w:rsidR="006A63B6" w:rsidRPr="00151815" w:rsidRDefault="00E30D41" w:rsidP="000D26FE">
      <w:pPr>
        <w:pStyle w:val="Akapitzlist"/>
        <w:numPr>
          <w:ilvl w:val="0"/>
          <w:numId w:val="55"/>
        </w:numPr>
        <w:spacing w:after="0" w:line="276" w:lineRule="auto"/>
        <w:rPr>
          <w:rFonts w:cstheme="minorHAnsi"/>
          <w:sz w:val="24"/>
          <w:szCs w:val="24"/>
        </w:rPr>
      </w:pPr>
      <w:r w:rsidRPr="00151815">
        <w:rPr>
          <w:rFonts w:cstheme="minorHAnsi"/>
          <w:sz w:val="24"/>
          <w:szCs w:val="24"/>
        </w:rPr>
        <w:t>u</w:t>
      </w:r>
      <w:r w:rsidR="006A63B6" w:rsidRPr="00151815">
        <w:rPr>
          <w:rFonts w:cstheme="minorHAnsi"/>
          <w:sz w:val="24"/>
          <w:szCs w:val="24"/>
        </w:rPr>
        <w:t>sług doradcz</w:t>
      </w:r>
      <w:r w:rsidR="00CD6767" w:rsidRPr="00151815">
        <w:rPr>
          <w:rFonts w:cstheme="minorHAnsi"/>
          <w:sz w:val="24"/>
          <w:szCs w:val="24"/>
        </w:rPr>
        <w:t>ych</w:t>
      </w:r>
      <w:r w:rsidR="00A81590" w:rsidRPr="00151815">
        <w:rPr>
          <w:rFonts w:cstheme="minorHAnsi"/>
          <w:sz w:val="24"/>
          <w:szCs w:val="24"/>
        </w:rPr>
        <w:t>;</w:t>
      </w:r>
    </w:p>
    <w:p w14:paraId="5224FA48" w14:textId="14DB346D" w:rsidR="00A81590" w:rsidRDefault="00A81590" w:rsidP="006A63B6">
      <w:pPr>
        <w:pStyle w:val="Akapitzlist"/>
        <w:numPr>
          <w:ilvl w:val="0"/>
          <w:numId w:val="55"/>
        </w:numPr>
        <w:spacing w:after="0" w:line="276" w:lineRule="auto"/>
        <w:rPr>
          <w:rFonts w:cstheme="minorHAnsi"/>
          <w:sz w:val="24"/>
          <w:szCs w:val="24"/>
        </w:rPr>
      </w:pPr>
      <w:r>
        <w:rPr>
          <w:rFonts w:cstheme="minorHAnsi"/>
          <w:sz w:val="24"/>
          <w:szCs w:val="24"/>
        </w:rPr>
        <w:t>subskrypcj</w:t>
      </w:r>
      <w:r w:rsidR="00CD6767">
        <w:rPr>
          <w:rFonts w:cstheme="minorHAnsi"/>
          <w:sz w:val="24"/>
          <w:szCs w:val="24"/>
        </w:rPr>
        <w:t>i</w:t>
      </w:r>
      <w:r>
        <w:rPr>
          <w:rFonts w:cstheme="minorHAnsi"/>
          <w:sz w:val="24"/>
          <w:szCs w:val="24"/>
        </w:rPr>
        <w:t xml:space="preserve"> oprogramowania;</w:t>
      </w:r>
    </w:p>
    <w:p w14:paraId="1D40090E" w14:textId="7839AF3B" w:rsidR="00CD6767" w:rsidRPr="00151815" w:rsidRDefault="00CD6767" w:rsidP="00075BF6">
      <w:pPr>
        <w:pStyle w:val="Akapitzlist"/>
        <w:numPr>
          <w:ilvl w:val="0"/>
          <w:numId w:val="55"/>
        </w:numPr>
        <w:spacing w:after="0" w:line="276" w:lineRule="auto"/>
        <w:rPr>
          <w:rFonts w:cstheme="minorHAnsi"/>
          <w:sz w:val="24"/>
          <w:szCs w:val="24"/>
        </w:rPr>
      </w:pPr>
      <w:r>
        <w:rPr>
          <w:rFonts w:cstheme="minorHAnsi"/>
          <w:sz w:val="24"/>
          <w:szCs w:val="24"/>
        </w:rPr>
        <w:t>wpierania innowacyjności</w:t>
      </w:r>
      <w:r w:rsidR="00075BF6">
        <w:rPr>
          <w:rFonts w:cstheme="minorHAnsi"/>
          <w:sz w:val="24"/>
          <w:szCs w:val="24"/>
        </w:rPr>
        <w:t>.</w:t>
      </w:r>
    </w:p>
    <w:p w14:paraId="7F7BE70B" w14:textId="77777777" w:rsidR="006A63B6" w:rsidRDefault="006A63B6" w:rsidP="00151815">
      <w:pPr>
        <w:spacing w:after="0" w:line="276" w:lineRule="auto"/>
        <w:rPr>
          <w:rFonts w:cstheme="minorHAnsi"/>
          <w:sz w:val="24"/>
          <w:szCs w:val="24"/>
        </w:rPr>
      </w:pPr>
    </w:p>
    <w:p w14:paraId="31B82C51" w14:textId="24BE429E" w:rsidR="006A63B6" w:rsidRPr="006A63B6" w:rsidRDefault="006A63B6" w:rsidP="00151815">
      <w:pPr>
        <w:pStyle w:val="Nagwek3"/>
        <w:numPr>
          <w:ilvl w:val="1"/>
          <w:numId w:val="58"/>
        </w:numPr>
        <w:spacing w:before="240" w:line="276" w:lineRule="auto"/>
        <w:rPr>
          <w:rFonts w:asciiTheme="minorHAnsi" w:hAnsiTheme="minorHAnsi" w:cstheme="minorHAnsi"/>
          <w:color w:val="auto"/>
          <w:sz w:val="32"/>
        </w:rPr>
      </w:pPr>
      <w:bookmarkStart w:id="551" w:name="_Toc202174427"/>
      <w:r w:rsidRPr="006A63B6">
        <w:rPr>
          <w:rFonts w:asciiTheme="minorHAnsi" w:hAnsiTheme="minorHAnsi" w:cstheme="minorHAnsi"/>
          <w:color w:val="auto"/>
          <w:sz w:val="32"/>
        </w:rPr>
        <w:t>Limity wydatków kwalifikowalnych oraz limity dofinansowania</w:t>
      </w:r>
      <w:bookmarkEnd w:id="551"/>
    </w:p>
    <w:p w14:paraId="0188DFB8" w14:textId="77777777" w:rsidR="006A63B6" w:rsidRDefault="006A63B6" w:rsidP="006A63B6">
      <w:pPr>
        <w:spacing w:after="120" w:line="276" w:lineRule="auto"/>
        <w:rPr>
          <w:rFonts w:cstheme="minorHAnsi"/>
          <w:color w:val="000000" w:themeColor="text1"/>
          <w:sz w:val="24"/>
          <w:u w:val="single"/>
        </w:rPr>
      </w:pPr>
      <w:r w:rsidRPr="006A63B6">
        <w:rPr>
          <w:rFonts w:cstheme="minorHAnsi"/>
          <w:color w:val="000000" w:themeColor="text1"/>
          <w:sz w:val="24"/>
          <w:u w:val="single"/>
        </w:rPr>
        <w:t>Limity wynikające z przepisów pomocy publicznej:</w:t>
      </w:r>
    </w:p>
    <w:p w14:paraId="7AFB4379" w14:textId="77777777" w:rsidR="006A63B6" w:rsidRPr="00753895" w:rsidRDefault="006A63B6" w:rsidP="006A63B6">
      <w:pPr>
        <w:spacing w:after="0" w:line="276" w:lineRule="auto"/>
        <w:rPr>
          <w:rFonts w:cstheme="minorHAnsi"/>
          <w:color w:val="000000" w:themeColor="text1"/>
          <w:sz w:val="24"/>
        </w:rPr>
      </w:pPr>
      <w:r w:rsidRPr="00753895">
        <w:rPr>
          <w:rFonts w:cstheme="minorHAnsi"/>
          <w:color w:val="000000" w:themeColor="text1"/>
          <w:sz w:val="24"/>
        </w:rPr>
        <w:t>Intensywność pomocy na wydatki w ramach poszczególnych przeznaczeń pomocy nie może przekroczyć:</w:t>
      </w:r>
    </w:p>
    <w:p w14:paraId="1EFC7054" w14:textId="269F4B0F" w:rsidR="006A63B6" w:rsidRPr="00151815" w:rsidRDefault="006A63B6" w:rsidP="006A63B6">
      <w:pPr>
        <w:pStyle w:val="Akapitzlist"/>
        <w:numPr>
          <w:ilvl w:val="0"/>
          <w:numId w:val="56"/>
        </w:numPr>
        <w:spacing w:after="120" w:line="276" w:lineRule="auto"/>
        <w:rPr>
          <w:rFonts w:cstheme="minorHAnsi"/>
          <w:color w:val="000000" w:themeColor="text1"/>
          <w:sz w:val="24"/>
        </w:rPr>
      </w:pPr>
      <w:r w:rsidRPr="00151815">
        <w:rPr>
          <w:rFonts w:cstheme="minorHAnsi"/>
          <w:color w:val="000000" w:themeColor="text1"/>
          <w:sz w:val="24"/>
        </w:rPr>
        <w:t xml:space="preserve">50% kosztów kwalifikowalnych </w:t>
      </w:r>
      <w:r w:rsidRPr="00151815">
        <w:rPr>
          <w:rFonts w:cstheme="minorHAnsi"/>
          <w:b/>
          <w:bCs/>
          <w:color w:val="000000" w:themeColor="text1"/>
          <w:sz w:val="24"/>
        </w:rPr>
        <w:t>na usługi doradcze</w:t>
      </w:r>
      <w:r>
        <w:rPr>
          <w:rFonts w:cstheme="minorHAnsi"/>
          <w:b/>
          <w:bCs/>
          <w:color w:val="000000" w:themeColor="text1"/>
          <w:sz w:val="24"/>
        </w:rPr>
        <w:t>;</w:t>
      </w:r>
    </w:p>
    <w:p w14:paraId="11BB6701" w14:textId="20474592" w:rsidR="006A63B6" w:rsidRPr="00151815" w:rsidRDefault="00A81590" w:rsidP="006A63B6">
      <w:pPr>
        <w:pStyle w:val="Akapitzlist"/>
        <w:numPr>
          <w:ilvl w:val="0"/>
          <w:numId w:val="56"/>
        </w:numPr>
        <w:spacing w:after="120" w:line="276" w:lineRule="auto"/>
        <w:rPr>
          <w:rFonts w:cstheme="minorHAnsi"/>
          <w:color w:val="000000" w:themeColor="text1"/>
          <w:sz w:val="24"/>
        </w:rPr>
      </w:pPr>
      <w:r w:rsidRPr="00461F14">
        <w:rPr>
          <w:rFonts w:cstheme="minorHAnsi"/>
          <w:color w:val="000000" w:themeColor="text1"/>
          <w:sz w:val="24"/>
        </w:rPr>
        <w:t xml:space="preserve">50% kosztów kwalifikowalnych </w:t>
      </w:r>
      <w:r w:rsidRPr="00461F14">
        <w:rPr>
          <w:rFonts w:cstheme="minorHAnsi"/>
          <w:b/>
          <w:bCs/>
          <w:color w:val="000000" w:themeColor="text1"/>
          <w:sz w:val="24"/>
        </w:rPr>
        <w:t xml:space="preserve">na </w:t>
      </w:r>
      <w:r>
        <w:rPr>
          <w:rFonts w:cstheme="minorHAnsi"/>
          <w:b/>
          <w:bCs/>
          <w:color w:val="000000" w:themeColor="text1"/>
          <w:sz w:val="24"/>
        </w:rPr>
        <w:t>wydatki dotyczące subskrypcji oprogramowania;</w:t>
      </w:r>
    </w:p>
    <w:p w14:paraId="67FFE05F" w14:textId="5BFC5931" w:rsidR="00A81590" w:rsidRPr="00151815" w:rsidRDefault="00202C42" w:rsidP="00151815">
      <w:pPr>
        <w:pStyle w:val="Akapitzlist"/>
        <w:numPr>
          <w:ilvl w:val="0"/>
          <w:numId w:val="56"/>
        </w:numPr>
        <w:spacing w:after="120" w:line="276" w:lineRule="auto"/>
        <w:rPr>
          <w:rFonts w:cstheme="minorHAnsi"/>
          <w:color w:val="000000" w:themeColor="text1"/>
          <w:sz w:val="24"/>
        </w:rPr>
      </w:pPr>
      <w:r w:rsidRPr="00461F14">
        <w:rPr>
          <w:rFonts w:cstheme="minorHAnsi"/>
          <w:color w:val="000000" w:themeColor="text1"/>
          <w:sz w:val="24"/>
        </w:rPr>
        <w:t xml:space="preserve">50% kosztów kwalifikowalnych </w:t>
      </w:r>
      <w:r w:rsidRPr="00461F14">
        <w:rPr>
          <w:rFonts w:cstheme="minorHAnsi"/>
          <w:b/>
          <w:bCs/>
          <w:color w:val="000000" w:themeColor="text1"/>
          <w:sz w:val="24"/>
        </w:rPr>
        <w:t xml:space="preserve">na </w:t>
      </w:r>
      <w:r>
        <w:rPr>
          <w:rFonts w:cstheme="minorHAnsi"/>
          <w:b/>
          <w:bCs/>
          <w:color w:val="000000" w:themeColor="text1"/>
          <w:sz w:val="24"/>
        </w:rPr>
        <w:t>wydatki dotyczące wspierania innowacyjności</w:t>
      </w:r>
      <w:r w:rsidR="00075BF6">
        <w:rPr>
          <w:rFonts w:cstheme="minorHAnsi"/>
          <w:b/>
          <w:bCs/>
          <w:color w:val="000000" w:themeColor="text1"/>
          <w:sz w:val="24"/>
        </w:rPr>
        <w:t>.</w:t>
      </w:r>
    </w:p>
    <w:p w14:paraId="2EED19BB" w14:textId="77777777" w:rsidR="006A63B6" w:rsidRPr="00151815" w:rsidRDefault="006A63B6" w:rsidP="00151815">
      <w:pPr>
        <w:spacing w:after="0" w:line="276" w:lineRule="auto"/>
        <w:ind w:left="360"/>
        <w:rPr>
          <w:rFonts w:cstheme="minorHAnsi"/>
          <w:sz w:val="24"/>
          <w:szCs w:val="24"/>
        </w:rPr>
      </w:pPr>
    </w:p>
    <w:p w14:paraId="03A602EF" w14:textId="2FFA1A78" w:rsidR="006A63B6" w:rsidRPr="006718AF" w:rsidRDefault="006A63B6" w:rsidP="00151815">
      <w:pPr>
        <w:pStyle w:val="Nagwek3"/>
        <w:numPr>
          <w:ilvl w:val="1"/>
          <w:numId w:val="58"/>
        </w:numPr>
        <w:spacing w:before="240" w:line="276" w:lineRule="auto"/>
        <w:rPr>
          <w:rFonts w:asciiTheme="minorHAnsi" w:hAnsiTheme="minorHAnsi" w:cstheme="minorHAnsi"/>
          <w:color w:val="auto"/>
          <w:sz w:val="32"/>
        </w:rPr>
      </w:pPr>
      <w:bookmarkStart w:id="552" w:name="_Toc202174428"/>
      <w:r w:rsidRPr="006718AF">
        <w:rPr>
          <w:rFonts w:asciiTheme="minorHAnsi" w:hAnsiTheme="minorHAnsi" w:cstheme="minorHAnsi"/>
          <w:color w:val="auto"/>
          <w:sz w:val="32"/>
        </w:rPr>
        <w:t>Kategorie wydatków kwalifikowalnych</w:t>
      </w:r>
      <w:bookmarkEnd w:id="552"/>
    </w:p>
    <w:p w14:paraId="12CB359D" w14:textId="5AFFC15C" w:rsidR="006A63B6" w:rsidRPr="00ED6E26" w:rsidRDefault="00E30D41" w:rsidP="006A63B6">
      <w:pPr>
        <w:pStyle w:val="Nagwek4"/>
        <w:spacing w:before="120" w:line="276" w:lineRule="auto"/>
        <w:rPr>
          <w:rFonts w:asciiTheme="minorHAnsi" w:hAnsiTheme="minorHAnsi" w:cstheme="minorHAnsi"/>
          <w:i w:val="0"/>
          <w:color w:val="auto"/>
          <w:sz w:val="28"/>
          <w:szCs w:val="28"/>
        </w:rPr>
      </w:pPr>
      <w:bookmarkStart w:id="553" w:name="_Toc202174429"/>
      <w:r>
        <w:rPr>
          <w:rFonts w:asciiTheme="minorHAnsi" w:hAnsiTheme="minorHAnsi" w:cstheme="minorHAnsi"/>
          <w:i w:val="0"/>
          <w:color w:val="auto"/>
          <w:sz w:val="28"/>
          <w:szCs w:val="28"/>
        </w:rPr>
        <w:t>8.</w:t>
      </w:r>
      <w:r w:rsidR="00610F23">
        <w:rPr>
          <w:rFonts w:asciiTheme="minorHAnsi" w:hAnsiTheme="minorHAnsi" w:cstheme="minorHAnsi"/>
          <w:i w:val="0"/>
          <w:color w:val="auto"/>
          <w:sz w:val="28"/>
          <w:szCs w:val="28"/>
        </w:rPr>
        <w:t>3</w:t>
      </w:r>
      <w:r>
        <w:rPr>
          <w:rFonts w:asciiTheme="minorHAnsi" w:hAnsiTheme="minorHAnsi" w:cstheme="minorHAnsi"/>
          <w:i w:val="0"/>
          <w:color w:val="auto"/>
          <w:sz w:val="28"/>
          <w:szCs w:val="28"/>
        </w:rPr>
        <w:t>.1</w:t>
      </w:r>
      <w:r w:rsidR="006A63B6">
        <w:rPr>
          <w:rFonts w:asciiTheme="minorHAnsi" w:hAnsiTheme="minorHAnsi" w:cstheme="minorHAnsi"/>
          <w:i w:val="0"/>
          <w:color w:val="auto"/>
          <w:sz w:val="28"/>
          <w:szCs w:val="28"/>
        </w:rPr>
        <w:t xml:space="preserve"> </w:t>
      </w:r>
      <w:r w:rsidR="006A63B6" w:rsidRPr="00ED6E26">
        <w:rPr>
          <w:rFonts w:asciiTheme="minorHAnsi" w:hAnsiTheme="minorHAnsi" w:cstheme="minorHAnsi"/>
          <w:i w:val="0"/>
          <w:color w:val="auto"/>
          <w:sz w:val="28"/>
          <w:szCs w:val="28"/>
        </w:rPr>
        <w:t>Usługi zewnętrzne (doradztwo)</w:t>
      </w:r>
      <w:bookmarkEnd w:id="553"/>
    </w:p>
    <w:p w14:paraId="18D470A6" w14:textId="77777777" w:rsidR="006A63B6" w:rsidRPr="00693BA1" w:rsidRDefault="006A63B6" w:rsidP="006A63B6">
      <w:pPr>
        <w:spacing w:after="120" w:line="276" w:lineRule="auto"/>
        <w:rPr>
          <w:rFonts w:cstheme="minorHAnsi"/>
          <w:sz w:val="24"/>
          <w:szCs w:val="24"/>
        </w:rPr>
      </w:pPr>
      <w:r w:rsidRPr="00693BA1">
        <w:rPr>
          <w:rFonts w:cstheme="minorHAnsi"/>
          <w:sz w:val="24"/>
          <w:szCs w:val="24"/>
        </w:rPr>
        <w:t xml:space="preserve">Koszty usług doradczych niezbędnych do realizacji projektu świadczonych przez doradców zewnętrznych. </w:t>
      </w:r>
    </w:p>
    <w:p w14:paraId="28F25504" w14:textId="77777777" w:rsidR="006A63B6" w:rsidRPr="00693BA1" w:rsidRDefault="006A63B6" w:rsidP="006A63B6">
      <w:pPr>
        <w:spacing w:after="120" w:line="276" w:lineRule="auto"/>
        <w:rPr>
          <w:rFonts w:eastAsia="Calibri" w:cstheme="minorHAnsi"/>
          <w:sz w:val="24"/>
          <w:szCs w:val="24"/>
        </w:rPr>
      </w:pPr>
      <w:r w:rsidRPr="00693BA1">
        <w:rPr>
          <w:rFonts w:eastAsia="Calibri" w:cstheme="minorHAnsi"/>
          <w:sz w:val="24"/>
          <w:szCs w:val="24"/>
        </w:rPr>
        <w:t>W ramach tej kategorii kwalifikowalne są m. in. koszty usług doradczych niezbędnych do realizacji projektu, świadczonych przez doradców zewnętrznych</w:t>
      </w:r>
      <w:r w:rsidRPr="00693BA1" w:rsidDel="003C05AD">
        <w:rPr>
          <w:rFonts w:eastAsia="Calibri" w:cstheme="minorHAnsi"/>
          <w:sz w:val="24"/>
          <w:szCs w:val="24"/>
        </w:rPr>
        <w:t xml:space="preserve"> </w:t>
      </w:r>
      <w:r w:rsidRPr="00693BA1">
        <w:rPr>
          <w:rFonts w:eastAsia="Calibri" w:cstheme="minorHAnsi"/>
          <w:sz w:val="24"/>
          <w:szCs w:val="24"/>
        </w:rPr>
        <w:t xml:space="preserve">tj. osoby fizyczne niezatrudnione u Wnioskodawcy, osoby prawne lub jednostki organizacyjne nieposiadające osobowości prawnej, które oferują usługi doradztwa. </w:t>
      </w:r>
    </w:p>
    <w:p w14:paraId="73B44395" w14:textId="77777777" w:rsidR="006A63B6" w:rsidRDefault="006A63B6" w:rsidP="006A63B6">
      <w:pPr>
        <w:spacing w:after="120" w:line="276" w:lineRule="auto"/>
        <w:rPr>
          <w:rFonts w:cstheme="minorHAnsi"/>
          <w:sz w:val="24"/>
          <w:szCs w:val="24"/>
        </w:rPr>
      </w:pPr>
      <w:r w:rsidRPr="00753895">
        <w:rPr>
          <w:rFonts w:eastAsia="Calibri" w:cstheme="minorHAnsi"/>
          <w:sz w:val="24"/>
          <w:szCs w:val="24"/>
        </w:rPr>
        <w:t>Usługi doradcze nie mogą mieć charakteru ciągłego ani okresowego, nie mogą być też związane z bieżącą działalnością operacyjną, w szczególności w zakresie doradztwa podatkowego, księgowego, stałej obsługi prawnej lub reklamy.</w:t>
      </w:r>
      <w:r w:rsidRPr="00693BA1">
        <w:rPr>
          <w:rFonts w:eastAsia="Calibri" w:cstheme="minorHAnsi"/>
          <w:sz w:val="24"/>
          <w:szCs w:val="24"/>
        </w:rPr>
        <w:t xml:space="preserve"> </w:t>
      </w:r>
      <w:r w:rsidRPr="00693BA1">
        <w:rPr>
          <w:rFonts w:cstheme="minorHAnsi"/>
          <w:sz w:val="24"/>
          <w:szCs w:val="24"/>
        </w:rPr>
        <w:t>Usługi realizowane wewnętrznie u Wnioskodawcy (przez pracowników Wnioskodawcy) oraz przez osoby i podmioty z nim powiązane</w:t>
      </w:r>
      <w:r w:rsidRPr="00693BA1">
        <w:rPr>
          <w:rStyle w:val="Odwoanieprzypisudolnego"/>
          <w:rFonts w:cstheme="minorHAnsi"/>
          <w:sz w:val="24"/>
          <w:szCs w:val="24"/>
        </w:rPr>
        <w:footnoteReference w:id="12"/>
      </w:r>
      <w:r w:rsidRPr="00693BA1">
        <w:rPr>
          <w:rFonts w:cstheme="minorHAnsi"/>
          <w:sz w:val="24"/>
          <w:szCs w:val="24"/>
        </w:rPr>
        <w:t xml:space="preserve"> są niekwalifikowalne.</w:t>
      </w:r>
    </w:p>
    <w:p w14:paraId="646CE7F1" w14:textId="77777777" w:rsidR="007E5DF5" w:rsidRPr="00461F14" w:rsidRDefault="007E5DF5" w:rsidP="007E5DF5">
      <w:pPr>
        <w:spacing w:line="276" w:lineRule="auto"/>
        <w:rPr>
          <w:rFonts w:cstheme="minorHAnsi"/>
          <w:b/>
          <w:bCs/>
          <w:sz w:val="24"/>
          <w:szCs w:val="24"/>
        </w:rPr>
      </w:pPr>
      <w:r w:rsidRPr="00461F14">
        <w:rPr>
          <w:rFonts w:cstheme="minorHAnsi"/>
          <w:b/>
          <w:bCs/>
          <w:sz w:val="24"/>
          <w:szCs w:val="24"/>
        </w:rPr>
        <w:t xml:space="preserve">Koszty te są objęte pomocą de </w:t>
      </w:r>
      <w:proofErr w:type="spellStart"/>
      <w:r w:rsidRPr="00461F14">
        <w:rPr>
          <w:rFonts w:cstheme="minorHAnsi"/>
          <w:b/>
          <w:bCs/>
          <w:sz w:val="24"/>
          <w:szCs w:val="24"/>
        </w:rPr>
        <w:t>minimis</w:t>
      </w:r>
      <w:proofErr w:type="spellEnd"/>
      <w:r w:rsidRPr="00461F14">
        <w:rPr>
          <w:rFonts w:cstheme="minorHAnsi"/>
          <w:b/>
          <w:bCs/>
          <w:sz w:val="24"/>
          <w:szCs w:val="24"/>
        </w:rPr>
        <w:t xml:space="preserve"> dla dużych przedsiębiorców.</w:t>
      </w:r>
    </w:p>
    <w:p w14:paraId="62F6A7B1" w14:textId="77777777" w:rsidR="007E5DF5" w:rsidRPr="00753895" w:rsidRDefault="007E5DF5" w:rsidP="006A63B6">
      <w:pPr>
        <w:spacing w:after="120" w:line="276" w:lineRule="auto"/>
        <w:rPr>
          <w:rFonts w:eastAsia="Calibri" w:cstheme="minorHAnsi"/>
          <w:sz w:val="24"/>
          <w:szCs w:val="24"/>
        </w:rPr>
      </w:pPr>
    </w:p>
    <w:p w14:paraId="1C44DD38" w14:textId="77E10A7C" w:rsidR="006A63B6" w:rsidRDefault="00610F23" w:rsidP="006A63B6">
      <w:pPr>
        <w:pStyle w:val="Nagwek4"/>
        <w:spacing w:before="120" w:line="276" w:lineRule="auto"/>
        <w:rPr>
          <w:rFonts w:asciiTheme="minorHAnsi" w:hAnsiTheme="minorHAnsi" w:cstheme="minorHAnsi"/>
          <w:i w:val="0"/>
          <w:color w:val="auto"/>
          <w:sz w:val="28"/>
          <w:szCs w:val="28"/>
        </w:rPr>
      </w:pPr>
      <w:bookmarkStart w:id="554" w:name="_Toc202174430"/>
      <w:r>
        <w:rPr>
          <w:rFonts w:asciiTheme="minorHAnsi" w:hAnsiTheme="minorHAnsi" w:cstheme="minorHAnsi"/>
          <w:i w:val="0"/>
          <w:color w:val="auto"/>
          <w:sz w:val="28"/>
          <w:szCs w:val="28"/>
        </w:rPr>
        <w:lastRenderedPageBreak/>
        <w:t>8</w:t>
      </w:r>
      <w:r w:rsidR="006A63B6" w:rsidRPr="0081757A">
        <w:rPr>
          <w:rFonts w:asciiTheme="minorHAnsi" w:hAnsiTheme="minorHAnsi" w:cstheme="minorHAnsi"/>
          <w:i w:val="0"/>
          <w:color w:val="auto"/>
          <w:sz w:val="28"/>
          <w:szCs w:val="28"/>
        </w:rPr>
        <w:t>.3.</w:t>
      </w:r>
      <w:r w:rsidR="006A63B6">
        <w:rPr>
          <w:rFonts w:asciiTheme="minorHAnsi" w:hAnsiTheme="minorHAnsi" w:cstheme="minorHAnsi"/>
          <w:i w:val="0"/>
          <w:color w:val="auto"/>
          <w:sz w:val="28"/>
          <w:szCs w:val="28"/>
        </w:rPr>
        <w:t>2</w:t>
      </w:r>
      <w:r w:rsidR="006A63B6" w:rsidRPr="0081757A">
        <w:rPr>
          <w:rFonts w:asciiTheme="minorHAnsi" w:hAnsiTheme="minorHAnsi" w:cstheme="minorHAnsi"/>
          <w:i w:val="0"/>
          <w:color w:val="auto"/>
          <w:sz w:val="28"/>
          <w:szCs w:val="28"/>
        </w:rPr>
        <w:t xml:space="preserve"> </w:t>
      </w:r>
      <w:r w:rsidR="00A81590">
        <w:rPr>
          <w:rFonts w:asciiTheme="minorHAnsi" w:hAnsiTheme="minorHAnsi" w:cstheme="minorHAnsi"/>
          <w:i w:val="0"/>
          <w:color w:val="auto"/>
          <w:sz w:val="28"/>
          <w:szCs w:val="28"/>
        </w:rPr>
        <w:t>Wydatki dotyczące subskrypcji oprogramowania</w:t>
      </w:r>
      <w:bookmarkEnd w:id="554"/>
    </w:p>
    <w:p w14:paraId="18E77BB9" w14:textId="77777777" w:rsidR="006A63B6" w:rsidRPr="002948AF" w:rsidRDefault="006A63B6" w:rsidP="006A63B6">
      <w:pPr>
        <w:spacing w:line="276" w:lineRule="auto"/>
        <w:rPr>
          <w:rFonts w:cstheme="minorHAnsi"/>
          <w:bCs/>
          <w:sz w:val="24"/>
          <w:szCs w:val="24"/>
        </w:rPr>
      </w:pPr>
      <w:r w:rsidRPr="002948AF">
        <w:rPr>
          <w:rFonts w:cstheme="minorHAnsi"/>
          <w:bCs/>
          <w:sz w:val="24"/>
          <w:szCs w:val="24"/>
        </w:rPr>
        <w:t xml:space="preserve">W ramach kategorii kwalifikowane są koszty subskrypcji oprogramowania wyłącznie w zakresie i przez okres, w jakim są one wykorzystywane na potrzeby realizowanego </w:t>
      </w:r>
      <w:r>
        <w:rPr>
          <w:rFonts w:cstheme="minorHAnsi"/>
          <w:bCs/>
          <w:sz w:val="24"/>
          <w:szCs w:val="24"/>
        </w:rPr>
        <w:t>projektu</w:t>
      </w:r>
      <w:r w:rsidRPr="002948AF">
        <w:rPr>
          <w:rFonts w:cstheme="minorHAnsi"/>
          <w:bCs/>
          <w:sz w:val="24"/>
          <w:szCs w:val="24"/>
        </w:rPr>
        <w:t>.</w:t>
      </w:r>
    </w:p>
    <w:p w14:paraId="07673B8A" w14:textId="03821B89" w:rsidR="006A63B6" w:rsidRPr="00151815" w:rsidRDefault="006A63B6" w:rsidP="00151815">
      <w:pPr>
        <w:spacing w:after="0" w:line="276" w:lineRule="auto"/>
        <w:rPr>
          <w:rFonts w:cstheme="minorHAnsi"/>
          <w:sz w:val="24"/>
          <w:szCs w:val="24"/>
        </w:rPr>
      </w:pPr>
      <w:r w:rsidRPr="00753895">
        <w:rPr>
          <w:b/>
          <w:bCs/>
          <w:sz w:val="24"/>
          <w:szCs w:val="24"/>
        </w:rPr>
        <w:t xml:space="preserve">Koszty </w:t>
      </w:r>
      <w:r>
        <w:rPr>
          <w:b/>
          <w:bCs/>
          <w:sz w:val="24"/>
          <w:szCs w:val="24"/>
        </w:rPr>
        <w:t>te</w:t>
      </w:r>
      <w:r w:rsidRPr="00753895">
        <w:rPr>
          <w:b/>
          <w:bCs/>
          <w:sz w:val="24"/>
          <w:szCs w:val="24"/>
        </w:rPr>
        <w:t xml:space="preserve"> są objęte pomocą de </w:t>
      </w:r>
      <w:proofErr w:type="spellStart"/>
      <w:r w:rsidRPr="00753895">
        <w:rPr>
          <w:b/>
          <w:bCs/>
          <w:sz w:val="24"/>
          <w:szCs w:val="24"/>
        </w:rPr>
        <w:t>minimis</w:t>
      </w:r>
      <w:proofErr w:type="spellEnd"/>
      <w:r w:rsidRPr="00753895">
        <w:rPr>
          <w:b/>
          <w:bCs/>
          <w:sz w:val="24"/>
          <w:szCs w:val="24"/>
        </w:rPr>
        <w:t xml:space="preserve"> zarówno dla MŚP, jak i dla dużych przedsiębiorców.</w:t>
      </w:r>
    </w:p>
    <w:p w14:paraId="4124677D" w14:textId="3F9639AD" w:rsidR="000252D4" w:rsidRDefault="00610F23" w:rsidP="000252D4">
      <w:pPr>
        <w:pStyle w:val="Nagwek4"/>
        <w:spacing w:before="120" w:line="276" w:lineRule="auto"/>
        <w:rPr>
          <w:rFonts w:asciiTheme="minorHAnsi" w:hAnsiTheme="minorHAnsi" w:cstheme="minorHAnsi"/>
          <w:i w:val="0"/>
          <w:color w:val="auto"/>
          <w:sz w:val="28"/>
          <w:szCs w:val="28"/>
        </w:rPr>
      </w:pPr>
      <w:bookmarkStart w:id="555" w:name="_Toc202174431"/>
      <w:r>
        <w:rPr>
          <w:rFonts w:asciiTheme="minorHAnsi" w:hAnsiTheme="minorHAnsi" w:cstheme="minorHAnsi"/>
          <w:i w:val="0"/>
          <w:color w:val="auto"/>
          <w:sz w:val="28"/>
          <w:szCs w:val="28"/>
        </w:rPr>
        <w:t>8</w:t>
      </w:r>
      <w:r w:rsidR="000252D4" w:rsidRPr="0081757A">
        <w:rPr>
          <w:rFonts w:asciiTheme="minorHAnsi" w:hAnsiTheme="minorHAnsi" w:cstheme="minorHAnsi"/>
          <w:i w:val="0"/>
          <w:color w:val="auto"/>
          <w:sz w:val="28"/>
          <w:szCs w:val="28"/>
        </w:rPr>
        <w:t>.3.</w:t>
      </w:r>
      <w:r w:rsidR="000252D4">
        <w:rPr>
          <w:rFonts w:asciiTheme="minorHAnsi" w:hAnsiTheme="minorHAnsi" w:cstheme="minorHAnsi"/>
          <w:i w:val="0"/>
          <w:color w:val="auto"/>
          <w:sz w:val="28"/>
          <w:szCs w:val="28"/>
        </w:rPr>
        <w:t>3</w:t>
      </w:r>
      <w:r w:rsidR="000252D4" w:rsidRPr="0081757A">
        <w:rPr>
          <w:rFonts w:asciiTheme="minorHAnsi" w:hAnsiTheme="minorHAnsi" w:cstheme="minorHAnsi"/>
          <w:i w:val="0"/>
          <w:color w:val="auto"/>
          <w:sz w:val="28"/>
          <w:szCs w:val="28"/>
        </w:rPr>
        <w:t xml:space="preserve"> </w:t>
      </w:r>
      <w:r w:rsidR="000252D4">
        <w:rPr>
          <w:rFonts w:asciiTheme="minorHAnsi" w:hAnsiTheme="minorHAnsi" w:cstheme="minorHAnsi"/>
          <w:i w:val="0"/>
          <w:color w:val="auto"/>
          <w:sz w:val="28"/>
          <w:szCs w:val="28"/>
        </w:rPr>
        <w:t>Wydatki dotyczące wspierania innowacyjności</w:t>
      </w:r>
      <w:bookmarkEnd w:id="555"/>
    </w:p>
    <w:p w14:paraId="7829944D" w14:textId="6C943459" w:rsidR="000252D4" w:rsidRPr="00151815" w:rsidRDefault="000252D4" w:rsidP="000252D4">
      <w:pPr>
        <w:spacing w:line="276" w:lineRule="auto"/>
        <w:rPr>
          <w:rFonts w:cstheme="minorHAnsi"/>
          <w:b/>
          <w:bCs/>
          <w:sz w:val="24"/>
          <w:szCs w:val="24"/>
        </w:rPr>
      </w:pPr>
      <w:r w:rsidRPr="00F24C36">
        <w:rPr>
          <w:rFonts w:cstheme="minorHAnsi"/>
          <w:sz w:val="24"/>
          <w:szCs w:val="24"/>
        </w:rPr>
        <w:t xml:space="preserve">W ramach tej kategorii kwalifikowalne są koszty udostępnienia banków danych, zasobów bibliotecznych, usług w chmurze </w:t>
      </w:r>
      <w:r w:rsidRPr="00F24C36">
        <w:rPr>
          <w:rStyle w:val="ui-provider"/>
          <w:rFonts w:cstheme="minorHAnsi"/>
          <w:sz w:val="24"/>
          <w:szCs w:val="24"/>
        </w:rPr>
        <w:t>i usług przechowywania danych</w:t>
      </w:r>
      <w:r w:rsidRPr="00F24C36">
        <w:rPr>
          <w:rFonts w:cstheme="minorHAnsi"/>
          <w:sz w:val="24"/>
          <w:szCs w:val="24"/>
        </w:rPr>
        <w:t xml:space="preserve">, badań rynku, laboratoriów, usług w zakresie zdolności obliczeniowych, takie jak oferowane przez High-performance </w:t>
      </w:r>
      <w:proofErr w:type="spellStart"/>
      <w:r w:rsidRPr="00F24C36">
        <w:rPr>
          <w:rFonts w:cstheme="minorHAnsi"/>
          <w:sz w:val="24"/>
          <w:szCs w:val="24"/>
        </w:rPr>
        <w:t>computing</w:t>
      </w:r>
      <w:proofErr w:type="spellEnd"/>
      <w:r w:rsidRPr="00F24C36">
        <w:rPr>
          <w:rFonts w:cstheme="minorHAnsi"/>
          <w:sz w:val="24"/>
          <w:szCs w:val="24"/>
        </w:rPr>
        <w:t xml:space="preserve"> (HPC), koszty znakowania, testowania i certyfikacji jakości, w tym koszty weryfikacji technologii środowiskowych (ETV – </w:t>
      </w:r>
      <w:proofErr w:type="spellStart"/>
      <w:r w:rsidRPr="00F24C36">
        <w:rPr>
          <w:rFonts w:cstheme="minorHAnsi"/>
          <w:sz w:val="24"/>
          <w:szCs w:val="24"/>
        </w:rPr>
        <w:t>Environmental</w:t>
      </w:r>
      <w:proofErr w:type="spellEnd"/>
      <w:r w:rsidRPr="00F24C36">
        <w:rPr>
          <w:rFonts w:cstheme="minorHAnsi"/>
          <w:sz w:val="24"/>
          <w:szCs w:val="24"/>
        </w:rPr>
        <w:t xml:space="preserve"> Technology </w:t>
      </w:r>
      <w:proofErr w:type="spellStart"/>
      <w:r w:rsidRPr="00F24C36">
        <w:rPr>
          <w:rFonts w:cstheme="minorHAnsi"/>
          <w:sz w:val="24"/>
          <w:szCs w:val="24"/>
        </w:rPr>
        <w:t>Vertification</w:t>
      </w:r>
      <w:proofErr w:type="spellEnd"/>
      <w:r w:rsidRPr="00F24C36">
        <w:rPr>
          <w:rFonts w:cstheme="minorHAnsi"/>
          <w:sz w:val="24"/>
          <w:szCs w:val="24"/>
        </w:rPr>
        <w:t xml:space="preserve">), w celu opracowania bardziej efektywnych produktów, procesów i usług, poniesione po dniu </w:t>
      </w:r>
      <w:r w:rsidRPr="00151815">
        <w:rPr>
          <w:rFonts w:cstheme="minorHAnsi"/>
          <w:b/>
          <w:bCs/>
          <w:sz w:val="24"/>
          <w:szCs w:val="24"/>
        </w:rPr>
        <w:t xml:space="preserve">złożenia wniosku. </w:t>
      </w:r>
    </w:p>
    <w:p w14:paraId="2B9AEE10" w14:textId="402F6899" w:rsidR="000252D4" w:rsidRPr="00151815" w:rsidRDefault="000252D4" w:rsidP="000252D4">
      <w:pPr>
        <w:spacing w:line="276" w:lineRule="auto"/>
        <w:rPr>
          <w:rFonts w:cstheme="minorHAnsi"/>
          <w:b/>
          <w:bCs/>
          <w:sz w:val="24"/>
          <w:szCs w:val="24"/>
        </w:rPr>
      </w:pPr>
      <w:r w:rsidRPr="00151815">
        <w:rPr>
          <w:rFonts w:cstheme="minorHAnsi"/>
          <w:b/>
          <w:bCs/>
          <w:sz w:val="24"/>
          <w:szCs w:val="24"/>
        </w:rPr>
        <w:t xml:space="preserve">Koszty te są objęte pomocą de </w:t>
      </w:r>
      <w:proofErr w:type="spellStart"/>
      <w:r w:rsidRPr="00151815">
        <w:rPr>
          <w:rFonts w:cstheme="minorHAnsi"/>
          <w:b/>
          <w:bCs/>
          <w:sz w:val="24"/>
          <w:szCs w:val="24"/>
        </w:rPr>
        <w:t>minimis</w:t>
      </w:r>
      <w:proofErr w:type="spellEnd"/>
      <w:r w:rsidRPr="00151815">
        <w:rPr>
          <w:rFonts w:cstheme="minorHAnsi"/>
          <w:b/>
          <w:bCs/>
          <w:sz w:val="24"/>
          <w:szCs w:val="24"/>
        </w:rPr>
        <w:t xml:space="preserve"> dla dużych przedsiębiorców.</w:t>
      </w:r>
    </w:p>
    <w:p w14:paraId="3DBF1015" w14:textId="77777777" w:rsidR="000252D4" w:rsidRDefault="000252D4" w:rsidP="000252D4">
      <w:pPr>
        <w:spacing w:line="276" w:lineRule="auto"/>
        <w:rPr>
          <w:b/>
          <w:bCs/>
          <w:sz w:val="24"/>
          <w:szCs w:val="24"/>
        </w:rPr>
      </w:pPr>
    </w:p>
    <w:p w14:paraId="40D90A05" w14:textId="7EEBA1F9" w:rsidR="00B40473" w:rsidRDefault="00B40473" w:rsidP="00BA7C34">
      <w:pPr>
        <w:spacing w:line="276" w:lineRule="auto"/>
        <w:rPr>
          <w:rFonts w:eastAsia="Calibri" w:cstheme="minorHAnsi"/>
          <w:sz w:val="24"/>
          <w:szCs w:val="24"/>
        </w:rPr>
      </w:pPr>
    </w:p>
    <w:p w14:paraId="0A3438F5" w14:textId="623617A4" w:rsidR="00BD41FF" w:rsidRPr="00BD41FF" w:rsidRDefault="00722C21" w:rsidP="00D360ED">
      <w:pPr>
        <w:pStyle w:val="Nagwek2"/>
        <w:pageBreakBefore/>
        <w:spacing w:line="276" w:lineRule="auto"/>
      </w:pPr>
      <w:bookmarkStart w:id="556" w:name="_Toc163485788"/>
      <w:bookmarkStart w:id="557" w:name="_Toc163485794"/>
      <w:bookmarkStart w:id="558" w:name="_Toc163485789"/>
      <w:bookmarkStart w:id="559" w:name="_Toc163485790"/>
      <w:bookmarkStart w:id="560" w:name="_Toc163485791"/>
      <w:bookmarkStart w:id="561" w:name="_Toc163485792"/>
      <w:bookmarkStart w:id="562" w:name="_Toc163485793"/>
      <w:bookmarkStart w:id="563" w:name="_Toc124327573"/>
      <w:bookmarkStart w:id="564" w:name="_Toc124328130"/>
      <w:bookmarkStart w:id="565" w:name="_Toc124329403"/>
      <w:bookmarkStart w:id="566" w:name="_Toc124329515"/>
      <w:bookmarkStart w:id="567" w:name="_Toc124329611"/>
      <w:bookmarkStart w:id="568" w:name="_Toc124329707"/>
      <w:bookmarkStart w:id="569" w:name="_Toc124329803"/>
      <w:bookmarkStart w:id="570" w:name="_Toc124330740"/>
      <w:bookmarkStart w:id="571" w:name="_Toc124330836"/>
      <w:bookmarkStart w:id="572" w:name="_Toc124327579"/>
      <w:bookmarkStart w:id="573" w:name="_Toc124328136"/>
      <w:bookmarkStart w:id="574" w:name="_Toc124329409"/>
      <w:bookmarkStart w:id="575" w:name="_Toc124329521"/>
      <w:bookmarkStart w:id="576" w:name="_Toc124329617"/>
      <w:bookmarkStart w:id="577" w:name="_Toc124329713"/>
      <w:bookmarkStart w:id="578" w:name="_Toc124329809"/>
      <w:bookmarkStart w:id="579" w:name="_Toc124330746"/>
      <w:bookmarkStart w:id="580" w:name="_Toc124330842"/>
      <w:bookmarkStart w:id="581" w:name="_Toc124327580"/>
      <w:bookmarkStart w:id="582" w:name="_Toc124328137"/>
      <w:bookmarkStart w:id="583" w:name="_Toc124329410"/>
      <w:bookmarkStart w:id="584" w:name="_Toc124329522"/>
      <w:bookmarkStart w:id="585" w:name="_Toc124329618"/>
      <w:bookmarkStart w:id="586" w:name="_Toc124329714"/>
      <w:bookmarkStart w:id="587" w:name="_Toc124329810"/>
      <w:bookmarkStart w:id="588" w:name="_Toc124330747"/>
      <w:bookmarkStart w:id="589" w:name="_Toc124330843"/>
      <w:bookmarkStart w:id="590" w:name="_Toc124327582"/>
      <w:bookmarkStart w:id="591" w:name="_Toc124328139"/>
      <w:bookmarkStart w:id="592" w:name="_Toc124329412"/>
      <w:bookmarkStart w:id="593" w:name="_Toc124329524"/>
      <w:bookmarkStart w:id="594" w:name="_Toc124329620"/>
      <w:bookmarkStart w:id="595" w:name="_Toc124329716"/>
      <w:bookmarkStart w:id="596" w:name="_Toc124329812"/>
      <w:bookmarkStart w:id="597" w:name="_Toc124330749"/>
      <w:bookmarkStart w:id="598" w:name="_Toc124330845"/>
      <w:bookmarkStart w:id="599" w:name="_Toc124327584"/>
      <w:bookmarkStart w:id="600" w:name="_Toc124328141"/>
      <w:bookmarkStart w:id="601" w:name="_Toc124329414"/>
      <w:bookmarkStart w:id="602" w:name="_Toc124329526"/>
      <w:bookmarkStart w:id="603" w:name="_Toc124329622"/>
      <w:bookmarkStart w:id="604" w:name="_Toc124329718"/>
      <w:bookmarkStart w:id="605" w:name="_Toc124329814"/>
      <w:bookmarkStart w:id="606" w:name="_Toc124330751"/>
      <w:bookmarkStart w:id="607" w:name="_Toc124330847"/>
      <w:bookmarkStart w:id="608" w:name="_Toc126756879"/>
      <w:bookmarkStart w:id="609" w:name="_Toc202174432"/>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r w:rsidRPr="00930477">
        <w:rPr>
          <w:rFonts w:asciiTheme="minorHAnsi" w:hAnsiTheme="minorHAnsi" w:cstheme="minorHAnsi"/>
          <w:b/>
          <w:color w:val="auto"/>
          <w:sz w:val="36"/>
          <w:szCs w:val="36"/>
        </w:rPr>
        <w:lastRenderedPageBreak/>
        <w:t>Tabele intensywności wsparcia</w:t>
      </w:r>
      <w:bookmarkEnd w:id="608"/>
      <w:r w:rsidR="002115AB" w:rsidRPr="00762814">
        <w:rPr>
          <w:rFonts w:asciiTheme="minorHAnsi" w:hAnsiTheme="minorHAnsi" w:cstheme="minorHAnsi"/>
          <w:b/>
          <w:bCs/>
          <w:sz w:val="24"/>
          <w:szCs w:val="24"/>
        </w:rPr>
        <w:t xml:space="preserve"> </w:t>
      </w:r>
      <w:bookmarkEnd w:id="609"/>
    </w:p>
    <w:p w14:paraId="4718B7A9" w14:textId="3806E90D" w:rsidR="00D44E12" w:rsidRDefault="00EC4C4C" w:rsidP="00151815">
      <w:pPr>
        <w:spacing w:after="120" w:line="276" w:lineRule="auto"/>
        <w:rPr>
          <w:rFonts w:cstheme="minorHAnsi"/>
          <w:b/>
          <w:bCs/>
          <w:sz w:val="24"/>
          <w:szCs w:val="24"/>
        </w:rPr>
      </w:pPr>
      <w:bookmarkStart w:id="610" w:name="_Hlk126662263"/>
      <w:r w:rsidRPr="00762814">
        <w:rPr>
          <w:rFonts w:cstheme="minorHAnsi"/>
          <w:b/>
          <w:bCs/>
          <w:sz w:val="24"/>
          <w:szCs w:val="24"/>
        </w:rPr>
        <w:t xml:space="preserve">Tabela nr </w:t>
      </w:r>
      <w:r w:rsidR="00221D5C">
        <w:rPr>
          <w:rFonts w:cstheme="minorHAnsi"/>
          <w:b/>
          <w:bCs/>
          <w:sz w:val="24"/>
          <w:szCs w:val="24"/>
        </w:rPr>
        <w:t>1</w:t>
      </w:r>
      <w:r w:rsidR="00D44E12" w:rsidRPr="00762814">
        <w:rPr>
          <w:rFonts w:cstheme="minorHAnsi"/>
          <w:b/>
          <w:bCs/>
          <w:sz w:val="24"/>
          <w:szCs w:val="24"/>
        </w:rPr>
        <w:t xml:space="preserve">. </w:t>
      </w:r>
      <w:r w:rsidR="00584972" w:rsidRPr="00313E0F">
        <w:rPr>
          <w:rFonts w:cstheme="minorHAnsi"/>
          <w:b/>
          <w:bCs/>
          <w:sz w:val="24"/>
          <w:szCs w:val="24"/>
        </w:rPr>
        <w:t>Intensywność</w:t>
      </w:r>
      <w:r w:rsidR="00D44E12" w:rsidRPr="00762814">
        <w:rPr>
          <w:rFonts w:cstheme="minorHAnsi"/>
          <w:b/>
          <w:bCs/>
          <w:sz w:val="24"/>
          <w:szCs w:val="24"/>
        </w:rPr>
        <w:t xml:space="preserve"> wsparcia </w:t>
      </w:r>
      <w:r w:rsidR="00A5516B" w:rsidRPr="00762814">
        <w:rPr>
          <w:rFonts w:cstheme="minorHAnsi"/>
          <w:b/>
          <w:bCs/>
          <w:sz w:val="24"/>
          <w:szCs w:val="24"/>
        </w:rPr>
        <w:t>dla</w:t>
      </w:r>
      <w:r w:rsidR="00D44E12" w:rsidRPr="00762814">
        <w:rPr>
          <w:rFonts w:cstheme="minorHAnsi"/>
          <w:b/>
          <w:bCs/>
          <w:sz w:val="24"/>
          <w:szCs w:val="24"/>
        </w:rPr>
        <w:t xml:space="preserve"> regionalnej pomocy inwestycyjnej</w:t>
      </w:r>
      <w:r w:rsidR="007E4064">
        <w:rPr>
          <w:rStyle w:val="Odwoanieprzypisudolnego"/>
          <w:rFonts w:cstheme="minorHAnsi"/>
          <w:b/>
          <w:bCs/>
          <w:sz w:val="24"/>
          <w:szCs w:val="24"/>
        </w:rPr>
        <w:footnoteReference w:id="13"/>
      </w:r>
    </w:p>
    <w:tbl>
      <w:tblPr>
        <w:tblStyle w:val="Tabela-Siatka"/>
        <w:tblW w:w="9493" w:type="dxa"/>
        <w:tblLayout w:type="fixed"/>
        <w:tblLook w:val="04A0" w:firstRow="1" w:lastRow="0" w:firstColumn="1" w:lastColumn="0" w:noHBand="0" w:noVBand="1"/>
      </w:tblPr>
      <w:tblGrid>
        <w:gridCol w:w="1555"/>
        <w:gridCol w:w="1417"/>
        <w:gridCol w:w="2126"/>
        <w:gridCol w:w="1134"/>
        <w:gridCol w:w="1276"/>
        <w:gridCol w:w="992"/>
        <w:gridCol w:w="993"/>
      </w:tblGrid>
      <w:tr w:rsidR="0018262B" w:rsidRPr="00D2095B" w14:paraId="00C166D4" w14:textId="77777777" w:rsidTr="0018262B">
        <w:tc>
          <w:tcPr>
            <w:tcW w:w="6232" w:type="dxa"/>
            <w:gridSpan w:val="4"/>
            <w:vMerge w:val="restart"/>
            <w:shd w:val="clear" w:color="auto" w:fill="C0D7EC"/>
            <w:vAlign w:val="center"/>
          </w:tcPr>
          <w:p w14:paraId="7C9B7321" w14:textId="77777777" w:rsidR="0018262B" w:rsidRPr="002D66B7" w:rsidRDefault="0018262B" w:rsidP="00F77595">
            <w:pPr>
              <w:jc w:val="center"/>
              <w:rPr>
                <w:rFonts w:ascii="Calibri" w:eastAsia="Calibri" w:hAnsi="Calibri" w:cs="Calibri"/>
                <w:b/>
                <w:bCs/>
                <w:sz w:val="20"/>
                <w:szCs w:val="20"/>
              </w:rPr>
            </w:pPr>
            <w:bookmarkStart w:id="611" w:name="_Hlk136444015"/>
            <w:r w:rsidRPr="002D66B7">
              <w:rPr>
                <w:rFonts w:ascii="Calibri" w:eastAsia="Calibri" w:hAnsi="Calibri" w:cs="Calibri"/>
                <w:b/>
                <w:bCs/>
                <w:sz w:val="20"/>
                <w:szCs w:val="20"/>
              </w:rPr>
              <w:t>Województwo</w:t>
            </w:r>
          </w:p>
        </w:tc>
        <w:tc>
          <w:tcPr>
            <w:tcW w:w="3261" w:type="dxa"/>
            <w:gridSpan w:val="3"/>
            <w:tcBorders>
              <w:bottom w:val="single" w:sz="4" w:space="0" w:color="auto"/>
            </w:tcBorders>
            <w:shd w:val="clear" w:color="auto" w:fill="C0D7EC"/>
            <w:vAlign w:val="center"/>
          </w:tcPr>
          <w:p w14:paraId="729CB464" w14:textId="77777777" w:rsidR="0018262B" w:rsidRPr="002D66B7" w:rsidRDefault="0018262B" w:rsidP="00F77595">
            <w:pPr>
              <w:jc w:val="center"/>
              <w:rPr>
                <w:rFonts w:ascii="Calibri" w:eastAsia="Calibri" w:hAnsi="Calibri" w:cs="Calibri"/>
                <w:b/>
                <w:bCs/>
                <w:sz w:val="20"/>
                <w:szCs w:val="20"/>
              </w:rPr>
            </w:pPr>
            <w:r>
              <w:rPr>
                <w:rFonts w:ascii="Calibri" w:eastAsia="Calibri" w:hAnsi="Calibri" w:cs="Calibri"/>
                <w:b/>
                <w:bCs/>
                <w:sz w:val="20"/>
                <w:szCs w:val="20"/>
              </w:rPr>
              <w:t>P</w:t>
            </w:r>
            <w:r w:rsidRPr="002D66B7">
              <w:rPr>
                <w:rFonts w:ascii="Calibri" w:eastAsia="Calibri" w:hAnsi="Calibri" w:cs="Calibri"/>
                <w:b/>
                <w:bCs/>
                <w:sz w:val="20"/>
                <w:szCs w:val="20"/>
              </w:rPr>
              <w:t>rzedsiębiorstw</w:t>
            </w:r>
            <w:r>
              <w:rPr>
                <w:rFonts w:ascii="Calibri" w:eastAsia="Calibri" w:hAnsi="Calibri" w:cs="Calibri"/>
                <w:b/>
                <w:bCs/>
                <w:sz w:val="20"/>
                <w:szCs w:val="20"/>
              </w:rPr>
              <w:t>a</w:t>
            </w:r>
          </w:p>
        </w:tc>
      </w:tr>
      <w:tr w:rsidR="0018262B" w:rsidRPr="00D2095B" w14:paraId="1F1D7C9A" w14:textId="77777777" w:rsidTr="0018262B">
        <w:tc>
          <w:tcPr>
            <w:tcW w:w="6232" w:type="dxa"/>
            <w:gridSpan w:val="4"/>
            <w:vMerge/>
            <w:tcBorders>
              <w:bottom w:val="single" w:sz="4" w:space="0" w:color="auto"/>
            </w:tcBorders>
            <w:shd w:val="clear" w:color="auto" w:fill="C0D7EC"/>
          </w:tcPr>
          <w:p w14:paraId="1692884B" w14:textId="77777777" w:rsidR="0018262B" w:rsidRPr="001704DE" w:rsidRDefault="0018262B" w:rsidP="00F77595">
            <w:pPr>
              <w:rPr>
                <w:rFonts w:ascii="Calibri" w:eastAsia="Calibri" w:hAnsi="Calibri" w:cs="Calibri"/>
                <w:b/>
                <w:bCs/>
                <w:color w:val="2F5496" w:themeColor="accent1" w:themeShade="BF"/>
                <w:sz w:val="20"/>
                <w:szCs w:val="20"/>
              </w:rPr>
            </w:pPr>
          </w:p>
        </w:tc>
        <w:tc>
          <w:tcPr>
            <w:tcW w:w="1276" w:type="dxa"/>
            <w:tcBorders>
              <w:bottom w:val="single" w:sz="4" w:space="0" w:color="auto"/>
            </w:tcBorders>
            <w:shd w:val="clear" w:color="auto" w:fill="C0D7EC"/>
          </w:tcPr>
          <w:p w14:paraId="0E835E59" w14:textId="77777777" w:rsidR="0018262B" w:rsidRPr="00D2095B" w:rsidRDefault="0018262B" w:rsidP="00F77595">
            <w:pPr>
              <w:jc w:val="center"/>
              <w:rPr>
                <w:rFonts w:ascii="Calibri" w:eastAsia="Calibri" w:hAnsi="Calibri" w:cs="Calibri"/>
                <w:b/>
                <w:bCs/>
                <w:sz w:val="20"/>
                <w:szCs w:val="20"/>
              </w:rPr>
            </w:pPr>
            <w:r w:rsidRPr="00D2095B">
              <w:rPr>
                <w:rFonts w:ascii="Calibri" w:eastAsia="Calibri" w:hAnsi="Calibri" w:cs="Calibri"/>
                <w:b/>
                <w:bCs/>
                <w:sz w:val="20"/>
                <w:szCs w:val="20"/>
              </w:rPr>
              <w:t>małe</w:t>
            </w:r>
          </w:p>
        </w:tc>
        <w:tc>
          <w:tcPr>
            <w:tcW w:w="992" w:type="dxa"/>
            <w:tcBorders>
              <w:bottom w:val="single" w:sz="4" w:space="0" w:color="auto"/>
            </w:tcBorders>
            <w:shd w:val="clear" w:color="auto" w:fill="C0D7EC"/>
          </w:tcPr>
          <w:p w14:paraId="60C724AE" w14:textId="77CF828A" w:rsidR="0018262B" w:rsidRPr="00D2095B" w:rsidRDefault="000D55C7" w:rsidP="00F77595">
            <w:pPr>
              <w:jc w:val="center"/>
              <w:rPr>
                <w:rFonts w:ascii="Calibri" w:eastAsia="Calibri" w:hAnsi="Calibri" w:cs="Calibri"/>
                <w:b/>
                <w:bCs/>
                <w:sz w:val="20"/>
                <w:szCs w:val="20"/>
              </w:rPr>
            </w:pPr>
            <w:r w:rsidRPr="00D2095B">
              <w:rPr>
                <w:rFonts w:ascii="Calibri" w:eastAsia="Calibri" w:hAnsi="Calibri" w:cs="Calibri"/>
                <w:b/>
                <w:bCs/>
                <w:sz w:val="20"/>
                <w:szCs w:val="20"/>
              </w:rPr>
              <w:t>Ś</w:t>
            </w:r>
            <w:r w:rsidR="0018262B" w:rsidRPr="00D2095B">
              <w:rPr>
                <w:rFonts w:ascii="Calibri" w:eastAsia="Calibri" w:hAnsi="Calibri" w:cs="Calibri"/>
                <w:b/>
                <w:bCs/>
                <w:sz w:val="20"/>
                <w:szCs w:val="20"/>
              </w:rPr>
              <w:t>rednie</w:t>
            </w:r>
          </w:p>
        </w:tc>
        <w:tc>
          <w:tcPr>
            <w:tcW w:w="993" w:type="dxa"/>
            <w:tcBorders>
              <w:bottom w:val="single" w:sz="4" w:space="0" w:color="auto"/>
            </w:tcBorders>
            <w:shd w:val="clear" w:color="auto" w:fill="C0D7EC"/>
          </w:tcPr>
          <w:p w14:paraId="52D70D13" w14:textId="12FFCE88" w:rsidR="0018262B" w:rsidRPr="00D2095B" w:rsidRDefault="0018262B" w:rsidP="00F77595">
            <w:pPr>
              <w:jc w:val="center"/>
              <w:rPr>
                <w:rFonts w:ascii="Calibri" w:eastAsia="Calibri" w:hAnsi="Calibri" w:cs="Calibri"/>
                <w:b/>
                <w:bCs/>
                <w:sz w:val="20"/>
                <w:szCs w:val="20"/>
              </w:rPr>
            </w:pPr>
            <w:r w:rsidRPr="00D2095B">
              <w:rPr>
                <w:rFonts w:ascii="Calibri" w:eastAsia="Calibri" w:hAnsi="Calibri" w:cs="Calibri"/>
                <w:b/>
                <w:bCs/>
                <w:sz w:val="20"/>
                <w:szCs w:val="20"/>
              </w:rPr>
              <w:t>duże</w:t>
            </w:r>
            <w:r w:rsidR="00C73EB3">
              <w:rPr>
                <w:rStyle w:val="Odwoanieprzypisudolnego"/>
                <w:rFonts w:ascii="Calibri" w:eastAsia="Calibri" w:hAnsi="Calibri" w:cs="Calibri"/>
                <w:b/>
                <w:bCs/>
                <w:sz w:val="20"/>
                <w:szCs w:val="20"/>
              </w:rPr>
              <w:footnoteReference w:id="14"/>
            </w:r>
          </w:p>
        </w:tc>
      </w:tr>
      <w:bookmarkEnd w:id="611"/>
      <w:tr w:rsidR="0018262B" w:rsidRPr="00D2095B" w14:paraId="61BD155A" w14:textId="77777777" w:rsidTr="0018262B">
        <w:tc>
          <w:tcPr>
            <w:tcW w:w="6232" w:type="dxa"/>
            <w:gridSpan w:val="4"/>
            <w:tcBorders>
              <w:bottom w:val="single" w:sz="4" w:space="0" w:color="auto"/>
            </w:tcBorders>
            <w:shd w:val="clear" w:color="auto" w:fill="auto"/>
          </w:tcPr>
          <w:p w14:paraId="4941EC99" w14:textId="77777777" w:rsidR="0018262B" w:rsidRPr="00705357" w:rsidRDefault="0018262B" w:rsidP="00F77595">
            <w:pPr>
              <w:rPr>
                <w:rFonts w:ascii="Calibri" w:eastAsia="Calibri" w:hAnsi="Calibri" w:cs="Calibri"/>
                <w:b/>
                <w:bCs/>
                <w:color w:val="2F5496" w:themeColor="accent1" w:themeShade="BF"/>
                <w:sz w:val="20"/>
                <w:szCs w:val="20"/>
              </w:rPr>
            </w:pPr>
            <w:r w:rsidRPr="00705357">
              <w:rPr>
                <w:rFonts w:cstheme="minorHAnsi"/>
                <w:sz w:val="20"/>
                <w:szCs w:val="20"/>
              </w:rPr>
              <w:t xml:space="preserve">Lubelskie </w:t>
            </w:r>
            <w:r w:rsidRPr="00313E0F">
              <w:rPr>
                <w:rFonts w:cstheme="minorHAnsi"/>
                <w:color w:val="C00000"/>
                <w:sz w:val="20"/>
                <w:szCs w:val="20"/>
              </w:rPr>
              <w:t>(obszar „a”)</w:t>
            </w:r>
            <w:r w:rsidRPr="00313E0F">
              <w:rPr>
                <w:rStyle w:val="Odwoanieprzypisudolnego"/>
                <w:rFonts w:ascii="Calibri" w:eastAsia="Calibri" w:hAnsi="Calibri" w:cs="Calibri"/>
                <w:color w:val="C00000"/>
                <w:sz w:val="20"/>
                <w:szCs w:val="20"/>
              </w:rPr>
              <w:footnoteReference w:id="15"/>
            </w:r>
          </w:p>
        </w:tc>
        <w:tc>
          <w:tcPr>
            <w:tcW w:w="1276" w:type="dxa"/>
            <w:vAlign w:val="center"/>
          </w:tcPr>
          <w:p w14:paraId="011E7C75" w14:textId="0F0EA091" w:rsidR="0018262B" w:rsidRPr="009A55C2" w:rsidRDefault="00820E08" w:rsidP="00F77595">
            <w:pPr>
              <w:jc w:val="center"/>
              <w:rPr>
                <w:rFonts w:cstheme="minorHAnsi"/>
                <w:sz w:val="20"/>
                <w:szCs w:val="20"/>
              </w:rPr>
            </w:pPr>
            <w:r>
              <w:rPr>
                <w:rFonts w:cstheme="minorHAnsi"/>
                <w:sz w:val="20"/>
                <w:szCs w:val="20"/>
              </w:rPr>
              <w:t>75</w:t>
            </w:r>
            <w:r w:rsidR="0018262B" w:rsidRPr="009A55C2">
              <w:rPr>
                <w:rFonts w:cstheme="minorHAnsi"/>
                <w:sz w:val="20"/>
                <w:szCs w:val="20"/>
              </w:rPr>
              <w:t>%</w:t>
            </w:r>
          </w:p>
        </w:tc>
        <w:tc>
          <w:tcPr>
            <w:tcW w:w="992" w:type="dxa"/>
            <w:vAlign w:val="center"/>
          </w:tcPr>
          <w:p w14:paraId="099943F0" w14:textId="3F32987E" w:rsidR="0018262B" w:rsidRPr="009A55C2" w:rsidRDefault="00A2012B" w:rsidP="00F77595">
            <w:pPr>
              <w:jc w:val="center"/>
              <w:rPr>
                <w:rFonts w:cstheme="minorHAnsi"/>
                <w:sz w:val="20"/>
                <w:szCs w:val="20"/>
              </w:rPr>
            </w:pPr>
            <w:r>
              <w:rPr>
                <w:rFonts w:cstheme="minorHAnsi"/>
                <w:sz w:val="20"/>
                <w:szCs w:val="20"/>
              </w:rPr>
              <w:t>7</w:t>
            </w:r>
            <w:r w:rsidR="0018262B" w:rsidRPr="009A55C2">
              <w:rPr>
                <w:rFonts w:cstheme="minorHAnsi"/>
                <w:sz w:val="20"/>
                <w:szCs w:val="20"/>
              </w:rPr>
              <w:t>0%</w:t>
            </w:r>
          </w:p>
        </w:tc>
        <w:tc>
          <w:tcPr>
            <w:tcW w:w="993" w:type="dxa"/>
            <w:vAlign w:val="center"/>
          </w:tcPr>
          <w:p w14:paraId="57D000D7" w14:textId="1310EDFF" w:rsidR="0018262B" w:rsidRPr="009A55C2" w:rsidRDefault="00A2012B" w:rsidP="00F77595">
            <w:pPr>
              <w:jc w:val="center"/>
              <w:rPr>
                <w:rFonts w:cstheme="minorHAnsi"/>
                <w:sz w:val="20"/>
                <w:szCs w:val="20"/>
              </w:rPr>
            </w:pPr>
            <w:r>
              <w:rPr>
                <w:rFonts w:cstheme="minorHAnsi"/>
                <w:sz w:val="20"/>
                <w:szCs w:val="20"/>
              </w:rPr>
              <w:t>6</w:t>
            </w:r>
            <w:r w:rsidR="0018262B" w:rsidRPr="009A55C2">
              <w:rPr>
                <w:rFonts w:cstheme="minorHAnsi"/>
                <w:sz w:val="20"/>
                <w:szCs w:val="20"/>
              </w:rPr>
              <w:t>0%</w:t>
            </w:r>
          </w:p>
        </w:tc>
      </w:tr>
      <w:tr w:rsidR="0018262B" w:rsidRPr="00D2095B" w14:paraId="388C99F9" w14:textId="77777777" w:rsidTr="0018262B">
        <w:tc>
          <w:tcPr>
            <w:tcW w:w="6232" w:type="dxa"/>
            <w:gridSpan w:val="4"/>
            <w:tcBorders>
              <w:bottom w:val="single" w:sz="4" w:space="0" w:color="auto"/>
            </w:tcBorders>
            <w:shd w:val="clear" w:color="auto" w:fill="auto"/>
          </w:tcPr>
          <w:p w14:paraId="2DE90CBE" w14:textId="77777777" w:rsidR="0018262B" w:rsidRPr="00705357" w:rsidRDefault="0018262B" w:rsidP="00F77595">
            <w:pPr>
              <w:rPr>
                <w:rFonts w:ascii="Calibri" w:eastAsia="Calibri" w:hAnsi="Calibri" w:cs="Calibri"/>
                <w:b/>
                <w:bCs/>
                <w:color w:val="2F5496" w:themeColor="accent1" w:themeShade="BF"/>
                <w:sz w:val="20"/>
                <w:szCs w:val="20"/>
              </w:rPr>
            </w:pPr>
            <w:r w:rsidRPr="00705357">
              <w:rPr>
                <w:rFonts w:cstheme="minorHAnsi"/>
                <w:sz w:val="20"/>
                <w:szCs w:val="20"/>
              </w:rPr>
              <w:t xml:space="preserve">Podkarpackie </w:t>
            </w:r>
            <w:r w:rsidRPr="00313E0F">
              <w:rPr>
                <w:rFonts w:ascii="Calibri" w:eastAsia="Calibri" w:hAnsi="Calibri" w:cs="Calibri"/>
                <w:color w:val="C00000"/>
                <w:sz w:val="20"/>
                <w:szCs w:val="20"/>
              </w:rPr>
              <w:t>(obszar „a”)</w:t>
            </w:r>
          </w:p>
        </w:tc>
        <w:tc>
          <w:tcPr>
            <w:tcW w:w="1276" w:type="dxa"/>
            <w:vAlign w:val="center"/>
          </w:tcPr>
          <w:p w14:paraId="609A8FD7" w14:textId="5680B658" w:rsidR="0018262B" w:rsidRPr="00D2095B" w:rsidRDefault="00820E08" w:rsidP="00F77595">
            <w:pPr>
              <w:jc w:val="center"/>
              <w:rPr>
                <w:rFonts w:ascii="Calibri" w:eastAsia="Calibri" w:hAnsi="Calibri" w:cs="Calibri"/>
                <w:b/>
                <w:bCs/>
                <w:sz w:val="20"/>
                <w:szCs w:val="20"/>
              </w:rPr>
            </w:pPr>
            <w:r>
              <w:rPr>
                <w:rFonts w:cstheme="minorHAnsi"/>
                <w:sz w:val="20"/>
                <w:szCs w:val="20"/>
              </w:rPr>
              <w:t>75</w:t>
            </w:r>
            <w:r w:rsidR="0018262B" w:rsidRPr="009A55C2">
              <w:rPr>
                <w:rFonts w:cstheme="minorHAnsi"/>
                <w:sz w:val="20"/>
                <w:szCs w:val="20"/>
              </w:rPr>
              <w:t>%</w:t>
            </w:r>
          </w:p>
        </w:tc>
        <w:tc>
          <w:tcPr>
            <w:tcW w:w="992" w:type="dxa"/>
            <w:vAlign w:val="center"/>
          </w:tcPr>
          <w:p w14:paraId="248D1B80" w14:textId="22E02676" w:rsidR="0018262B" w:rsidRPr="00D2095B" w:rsidRDefault="00A2012B" w:rsidP="00F77595">
            <w:pPr>
              <w:jc w:val="center"/>
              <w:rPr>
                <w:rFonts w:ascii="Calibri" w:eastAsia="Calibri" w:hAnsi="Calibri" w:cs="Calibri"/>
                <w:b/>
                <w:bCs/>
                <w:sz w:val="20"/>
                <w:szCs w:val="20"/>
              </w:rPr>
            </w:pPr>
            <w:r>
              <w:rPr>
                <w:rFonts w:cstheme="minorHAnsi"/>
                <w:sz w:val="20"/>
                <w:szCs w:val="20"/>
              </w:rPr>
              <w:t>7</w:t>
            </w:r>
            <w:r w:rsidR="0018262B" w:rsidRPr="009A55C2">
              <w:rPr>
                <w:rFonts w:cstheme="minorHAnsi"/>
                <w:sz w:val="20"/>
                <w:szCs w:val="20"/>
              </w:rPr>
              <w:t>0%</w:t>
            </w:r>
          </w:p>
        </w:tc>
        <w:tc>
          <w:tcPr>
            <w:tcW w:w="993" w:type="dxa"/>
            <w:tcBorders>
              <w:bottom w:val="single" w:sz="4" w:space="0" w:color="auto"/>
            </w:tcBorders>
            <w:shd w:val="clear" w:color="auto" w:fill="auto"/>
          </w:tcPr>
          <w:p w14:paraId="5464C2A8" w14:textId="0C304434" w:rsidR="0018262B" w:rsidRPr="00D2095B" w:rsidRDefault="00A2012B" w:rsidP="00F77595">
            <w:pPr>
              <w:jc w:val="center"/>
              <w:rPr>
                <w:rFonts w:ascii="Calibri" w:eastAsia="Calibri" w:hAnsi="Calibri" w:cs="Calibri"/>
                <w:b/>
                <w:bCs/>
                <w:sz w:val="20"/>
                <w:szCs w:val="20"/>
              </w:rPr>
            </w:pPr>
            <w:r>
              <w:rPr>
                <w:rFonts w:cstheme="minorHAnsi"/>
                <w:sz w:val="20"/>
                <w:szCs w:val="20"/>
              </w:rPr>
              <w:t>6</w:t>
            </w:r>
            <w:r w:rsidR="0018262B" w:rsidRPr="00D2095B">
              <w:rPr>
                <w:rFonts w:cstheme="minorHAnsi"/>
                <w:sz w:val="20"/>
                <w:szCs w:val="20"/>
              </w:rPr>
              <w:t>0%</w:t>
            </w:r>
          </w:p>
        </w:tc>
      </w:tr>
      <w:tr w:rsidR="0018262B" w:rsidRPr="00D2095B" w14:paraId="5A76951C" w14:textId="77777777" w:rsidTr="0018262B">
        <w:tc>
          <w:tcPr>
            <w:tcW w:w="6232" w:type="dxa"/>
            <w:gridSpan w:val="4"/>
            <w:tcBorders>
              <w:bottom w:val="single" w:sz="4" w:space="0" w:color="auto"/>
            </w:tcBorders>
            <w:shd w:val="clear" w:color="auto" w:fill="auto"/>
          </w:tcPr>
          <w:p w14:paraId="04FBB15D" w14:textId="77777777" w:rsidR="0018262B" w:rsidRPr="00705357" w:rsidRDefault="0018262B" w:rsidP="00F77595">
            <w:pPr>
              <w:rPr>
                <w:rFonts w:ascii="Calibri" w:eastAsia="Calibri" w:hAnsi="Calibri" w:cs="Calibri"/>
                <w:b/>
                <w:bCs/>
                <w:color w:val="2F5496" w:themeColor="accent1" w:themeShade="BF"/>
                <w:sz w:val="20"/>
                <w:szCs w:val="20"/>
              </w:rPr>
            </w:pPr>
            <w:r w:rsidRPr="00705357">
              <w:rPr>
                <w:rFonts w:cstheme="minorHAnsi"/>
                <w:sz w:val="20"/>
                <w:szCs w:val="20"/>
              </w:rPr>
              <w:t xml:space="preserve">Podlaskie </w:t>
            </w:r>
            <w:r w:rsidRPr="00313E0F">
              <w:rPr>
                <w:rFonts w:ascii="Calibri" w:eastAsia="Calibri" w:hAnsi="Calibri" w:cs="Calibri"/>
                <w:color w:val="C00000"/>
                <w:sz w:val="20"/>
                <w:szCs w:val="20"/>
              </w:rPr>
              <w:t>(obszar „a”)</w:t>
            </w:r>
          </w:p>
        </w:tc>
        <w:tc>
          <w:tcPr>
            <w:tcW w:w="1276" w:type="dxa"/>
            <w:vAlign w:val="center"/>
          </w:tcPr>
          <w:p w14:paraId="46CFF056" w14:textId="6BE716FE" w:rsidR="0018262B" w:rsidRPr="00D2095B" w:rsidRDefault="00820E08" w:rsidP="00F77595">
            <w:pPr>
              <w:jc w:val="center"/>
              <w:rPr>
                <w:rFonts w:ascii="Calibri" w:eastAsia="Calibri" w:hAnsi="Calibri" w:cs="Calibri"/>
                <w:b/>
                <w:bCs/>
                <w:sz w:val="20"/>
                <w:szCs w:val="20"/>
              </w:rPr>
            </w:pPr>
            <w:r>
              <w:rPr>
                <w:rFonts w:cstheme="minorHAnsi"/>
                <w:sz w:val="20"/>
                <w:szCs w:val="20"/>
              </w:rPr>
              <w:t>75</w:t>
            </w:r>
            <w:r w:rsidR="0018262B" w:rsidRPr="009A55C2">
              <w:rPr>
                <w:rFonts w:cstheme="minorHAnsi"/>
                <w:sz w:val="20"/>
                <w:szCs w:val="20"/>
              </w:rPr>
              <w:t>%</w:t>
            </w:r>
          </w:p>
        </w:tc>
        <w:tc>
          <w:tcPr>
            <w:tcW w:w="992" w:type="dxa"/>
            <w:vAlign w:val="center"/>
          </w:tcPr>
          <w:p w14:paraId="3243EBE2" w14:textId="1B69F30E" w:rsidR="0018262B" w:rsidRPr="00D2095B" w:rsidRDefault="00A2012B" w:rsidP="00F77595">
            <w:pPr>
              <w:jc w:val="center"/>
              <w:rPr>
                <w:rFonts w:ascii="Calibri" w:eastAsia="Calibri" w:hAnsi="Calibri" w:cs="Calibri"/>
                <w:b/>
                <w:bCs/>
                <w:sz w:val="20"/>
                <w:szCs w:val="20"/>
              </w:rPr>
            </w:pPr>
            <w:r>
              <w:rPr>
                <w:rFonts w:cstheme="minorHAnsi"/>
                <w:sz w:val="20"/>
                <w:szCs w:val="20"/>
              </w:rPr>
              <w:t>7</w:t>
            </w:r>
            <w:r w:rsidR="0018262B" w:rsidRPr="009A55C2">
              <w:rPr>
                <w:rFonts w:cstheme="minorHAnsi"/>
                <w:sz w:val="20"/>
                <w:szCs w:val="20"/>
              </w:rPr>
              <w:t>0%</w:t>
            </w:r>
          </w:p>
        </w:tc>
        <w:tc>
          <w:tcPr>
            <w:tcW w:w="993" w:type="dxa"/>
            <w:tcBorders>
              <w:bottom w:val="single" w:sz="4" w:space="0" w:color="auto"/>
            </w:tcBorders>
            <w:shd w:val="clear" w:color="auto" w:fill="auto"/>
          </w:tcPr>
          <w:p w14:paraId="72BD125E" w14:textId="4A9E1F66" w:rsidR="0018262B" w:rsidRPr="00D2095B" w:rsidRDefault="00A2012B" w:rsidP="00F77595">
            <w:pPr>
              <w:jc w:val="center"/>
              <w:rPr>
                <w:rFonts w:ascii="Calibri" w:eastAsia="Calibri" w:hAnsi="Calibri" w:cs="Calibri"/>
                <w:b/>
                <w:bCs/>
                <w:sz w:val="20"/>
                <w:szCs w:val="20"/>
              </w:rPr>
            </w:pPr>
            <w:r>
              <w:rPr>
                <w:rFonts w:cstheme="minorHAnsi"/>
                <w:sz w:val="20"/>
                <w:szCs w:val="20"/>
              </w:rPr>
              <w:t>6</w:t>
            </w:r>
            <w:r w:rsidR="0018262B" w:rsidRPr="00D2095B">
              <w:rPr>
                <w:rFonts w:cstheme="minorHAnsi"/>
                <w:sz w:val="20"/>
                <w:szCs w:val="20"/>
              </w:rPr>
              <w:t>0%</w:t>
            </w:r>
          </w:p>
        </w:tc>
      </w:tr>
      <w:tr w:rsidR="0018262B" w:rsidRPr="00D2095B" w14:paraId="2CD223BB" w14:textId="77777777" w:rsidTr="0018262B">
        <w:tc>
          <w:tcPr>
            <w:tcW w:w="6232" w:type="dxa"/>
            <w:gridSpan w:val="4"/>
            <w:tcBorders>
              <w:bottom w:val="single" w:sz="4" w:space="0" w:color="auto"/>
            </w:tcBorders>
            <w:shd w:val="clear" w:color="auto" w:fill="auto"/>
          </w:tcPr>
          <w:p w14:paraId="124341D8" w14:textId="77777777" w:rsidR="0018262B" w:rsidRPr="00705357" w:rsidRDefault="0018262B" w:rsidP="00F77595">
            <w:pPr>
              <w:rPr>
                <w:rFonts w:ascii="Calibri" w:eastAsia="Calibri" w:hAnsi="Calibri" w:cs="Calibri"/>
                <w:b/>
                <w:bCs/>
                <w:color w:val="2F5496" w:themeColor="accent1" w:themeShade="BF"/>
                <w:sz w:val="20"/>
                <w:szCs w:val="20"/>
              </w:rPr>
            </w:pPr>
            <w:r w:rsidRPr="00705357">
              <w:rPr>
                <w:rFonts w:cstheme="minorHAnsi"/>
                <w:sz w:val="20"/>
                <w:szCs w:val="20"/>
              </w:rPr>
              <w:t xml:space="preserve">Świętokrzyskie </w:t>
            </w:r>
            <w:r w:rsidRPr="00313E0F">
              <w:rPr>
                <w:rFonts w:ascii="Calibri" w:eastAsia="Calibri" w:hAnsi="Calibri" w:cs="Calibri"/>
                <w:color w:val="C00000"/>
                <w:sz w:val="20"/>
                <w:szCs w:val="20"/>
              </w:rPr>
              <w:t>(obszar „a”)</w:t>
            </w:r>
          </w:p>
        </w:tc>
        <w:tc>
          <w:tcPr>
            <w:tcW w:w="1276" w:type="dxa"/>
            <w:vAlign w:val="center"/>
          </w:tcPr>
          <w:p w14:paraId="3941B9CF" w14:textId="184893AA" w:rsidR="0018262B" w:rsidRPr="00D2095B" w:rsidRDefault="00820E08" w:rsidP="00F77595">
            <w:pPr>
              <w:jc w:val="center"/>
              <w:rPr>
                <w:rFonts w:ascii="Calibri" w:eastAsia="Calibri" w:hAnsi="Calibri" w:cs="Calibri"/>
                <w:b/>
                <w:bCs/>
                <w:sz w:val="20"/>
                <w:szCs w:val="20"/>
              </w:rPr>
            </w:pPr>
            <w:r>
              <w:rPr>
                <w:rFonts w:cstheme="minorHAnsi"/>
                <w:sz w:val="20"/>
                <w:szCs w:val="20"/>
              </w:rPr>
              <w:t>75</w:t>
            </w:r>
            <w:r w:rsidR="0018262B" w:rsidRPr="009A55C2">
              <w:rPr>
                <w:rFonts w:cstheme="minorHAnsi"/>
                <w:sz w:val="20"/>
                <w:szCs w:val="20"/>
              </w:rPr>
              <w:t>%</w:t>
            </w:r>
          </w:p>
        </w:tc>
        <w:tc>
          <w:tcPr>
            <w:tcW w:w="992" w:type="dxa"/>
            <w:vAlign w:val="center"/>
          </w:tcPr>
          <w:p w14:paraId="298218D6" w14:textId="33559D73" w:rsidR="0018262B" w:rsidRPr="00D2095B" w:rsidRDefault="00A2012B" w:rsidP="00F77595">
            <w:pPr>
              <w:jc w:val="center"/>
              <w:rPr>
                <w:rFonts w:ascii="Calibri" w:eastAsia="Calibri" w:hAnsi="Calibri" w:cs="Calibri"/>
                <w:b/>
                <w:bCs/>
                <w:sz w:val="20"/>
                <w:szCs w:val="20"/>
              </w:rPr>
            </w:pPr>
            <w:r>
              <w:rPr>
                <w:rFonts w:cstheme="minorHAnsi"/>
                <w:sz w:val="20"/>
                <w:szCs w:val="20"/>
              </w:rPr>
              <w:t>7</w:t>
            </w:r>
            <w:r w:rsidR="0018262B" w:rsidRPr="009A55C2">
              <w:rPr>
                <w:rFonts w:cstheme="minorHAnsi"/>
                <w:sz w:val="20"/>
                <w:szCs w:val="20"/>
              </w:rPr>
              <w:t>0%</w:t>
            </w:r>
          </w:p>
        </w:tc>
        <w:tc>
          <w:tcPr>
            <w:tcW w:w="993" w:type="dxa"/>
            <w:tcBorders>
              <w:bottom w:val="single" w:sz="4" w:space="0" w:color="auto"/>
            </w:tcBorders>
            <w:shd w:val="clear" w:color="auto" w:fill="auto"/>
          </w:tcPr>
          <w:p w14:paraId="7EFF8D06" w14:textId="7686238F" w:rsidR="0018262B" w:rsidRPr="00D2095B" w:rsidRDefault="00A2012B" w:rsidP="00F77595">
            <w:pPr>
              <w:jc w:val="center"/>
              <w:rPr>
                <w:rFonts w:ascii="Calibri" w:eastAsia="Calibri" w:hAnsi="Calibri" w:cs="Calibri"/>
                <w:b/>
                <w:bCs/>
                <w:sz w:val="20"/>
                <w:szCs w:val="20"/>
              </w:rPr>
            </w:pPr>
            <w:r>
              <w:rPr>
                <w:rFonts w:cstheme="minorHAnsi"/>
                <w:sz w:val="20"/>
                <w:szCs w:val="20"/>
              </w:rPr>
              <w:t>6</w:t>
            </w:r>
            <w:r w:rsidR="0018262B" w:rsidRPr="00D2095B">
              <w:rPr>
                <w:rFonts w:cstheme="minorHAnsi"/>
                <w:sz w:val="20"/>
                <w:szCs w:val="20"/>
              </w:rPr>
              <w:t>0%</w:t>
            </w:r>
          </w:p>
        </w:tc>
      </w:tr>
      <w:tr w:rsidR="0018262B" w:rsidRPr="00D2095B" w14:paraId="4F59DA8C" w14:textId="77777777" w:rsidTr="0018262B">
        <w:tc>
          <w:tcPr>
            <w:tcW w:w="6232" w:type="dxa"/>
            <w:gridSpan w:val="4"/>
            <w:tcBorders>
              <w:bottom w:val="single" w:sz="4" w:space="0" w:color="auto"/>
            </w:tcBorders>
            <w:shd w:val="clear" w:color="auto" w:fill="auto"/>
          </w:tcPr>
          <w:p w14:paraId="14B17CDA" w14:textId="77777777" w:rsidR="0018262B" w:rsidRPr="00705357" w:rsidRDefault="0018262B" w:rsidP="00F77595">
            <w:pPr>
              <w:rPr>
                <w:rFonts w:ascii="Calibri" w:eastAsia="Calibri" w:hAnsi="Calibri" w:cs="Calibri"/>
                <w:b/>
                <w:bCs/>
                <w:color w:val="2F5496" w:themeColor="accent1" w:themeShade="BF"/>
                <w:sz w:val="20"/>
                <w:szCs w:val="20"/>
              </w:rPr>
            </w:pPr>
            <w:r w:rsidRPr="00705357">
              <w:rPr>
                <w:rFonts w:cstheme="minorHAnsi"/>
                <w:sz w:val="20"/>
                <w:szCs w:val="20"/>
              </w:rPr>
              <w:t xml:space="preserve">Warmińsko – mazurskie </w:t>
            </w:r>
            <w:r w:rsidRPr="00313E0F">
              <w:rPr>
                <w:rFonts w:ascii="Calibri" w:eastAsia="Calibri" w:hAnsi="Calibri" w:cs="Calibri"/>
                <w:color w:val="C00000"/>
                <w:sz w:val="20"/>
                <w:szCs w:val="20"/>
              </w:rPr>
              <w:t>(obszar „a”)</w:t>
            </w:r>
          </w:p>
        </w:tc>
        <w:tc>
          <w:tcPr>
            <w:tcW w:w="1276" w:type="dxa"/>
            <w:vAlign w:val="center"/>
          </w:tcPr>
          <w:p w14:paraId="780F6858" w14:textId="45C689B6" w:rsidR="0018262B" w:rsidRPr="00D2095B" w:rsidRDefault="00820E08" w:rsidP="00F77595">
            <w:pPr>
              <w:jc w:val="center"/>
              <w:rPr>
                <w:rFonts w:ascii="Calibri" w:eastAsia="Calibri" w:hAnsi="Calibri" w:cs="Calibri"/>
                <w:b/>
                <w:bCs/>
                <w:sz w:val="20"/>
                <w:szCs w:val="20"/>
              </w:rPr>
            </w:pPr>
            <w:r>
              <w:rPr>
                <w:rFonts w:cstheme="minorHAnsi"/>
                <w:sz w:val="20"/>
                <w:szCs w:val="20"/>
              </w:rPr>
              <w:t>75</w:t>
            </w:r>
            <w:r w:rsidR="0018262B" w:rsidRPr="009A55C2">
              <w:rPr>
                <w:rFonts w:cstheme="minorHAnsi"/>
                <w:sz w:val="20"/>
                <w:szCs w:val="20"/>
              </w:rPr>
              <w:t>%</w:t>
            </w:r>
          </w:p>
        </w:tc>
        <w:tc>
          <w:tcPr>
            <w:tcW w:w="992" w:type="dxa"/>
            <w:vAlign w:val="center"/>
          </w:tcPr>
          <w:p w14:paraId="0222FE2B" w14:textId="6C9DF211" w:rsidR="0018262B" w:rsidRPr="00D2095B" w:rsidRDefault="00A2012B" w:rsidP="00F77595">
            <w:pPr>
              <w:jc w:val="center"/>
              <w:rPr>
                <w:rFonts w:ascii="Calibri" w:eastAsia="Calibri" w:hAnsi="Calibri" w:cs="Calibri"/>
                <w:b/>
                <w:bCs/>
                <w:sz w:val="20"/>
                <w:szCs w:val="20"/>
              </w:rPr>
            </w:pPr>
            <w:r>
              <w:rPr>
                <w:rFonts w:cstheme="minorHAnsi"/>
                <w:sz w:val="20"/>
                <w:szCs w:val="20"/>
              </w:rPr>
              <w:t>7</w:t>
            </w:r>
            <w:r w:rsidR="0018262B" w:rsidRPr="009A55C2">
              <w:rPr>
                <w:rFonts w:cstheme="minorHAnsi"/>
                <w:sz w:val="20"/>
                <w:szCs w:val="20"/>
              </w:rPr>
              <w:t>0%</w:t>
            </w:r>
          </w:p>
        </w:tc>
        <w:tc>
          <w:tcPr>
            <w:tcW w:w="993" w:type="dxa"/>
            <w:tcBorders>
              <w:bottom w:val="single" w:sz="4" w:space="0" w:color="auto"/>
            </w:tcBorders>
            <w:shd w:val="clear" w:color="auto" w:fill="auto"/>
          </w:tcPr>
          <w:p w14:paraId="137D7763" w14:textId="025C660C" w:rsidR="0018262B" w:rsidRPr="00D2095B" w:rsidRDefault="00A2012B" w:rsidP="00F77595">
            <w:pPr>
              <w:jc w:val="center"/>
              <w:rPr>
                <w:rFonts w:ascii="Calibri" w:eastAsia="Calibri" w:hAnsi="Calibri" w:cs="Calibri"/>
                <w:b/>
                <w:bCs/>
                <w:sz w:val="20"/>
                <w:szCs w:val="20"/>
              </w:rPr>
            </w:pPr>
            <w:r>
              <w:rPr>
                <w:rFonts w:cstheme="minorHAnsi"/>
                <w:sz w:val="20"/>
                <w:szCs w:val="20"/>
              </w:rPr>
              <w:t>6</w:t>
            </w:r>
            <w:r w:rsidR="0018262B" w:rsidRPr="00D2095B">
              <w:rPr>
                <w:rFonts w:cstheme="minorHAnsi"/>
                <w:sz w:val="20"/>
                <w:szCs w:val="20"/>
              </w:rPr>
              <w:t>0%</w:t>
            </w:r>
          </w:p>
        </w:tc>
      </w:tr>
      <w:tr w:rsidR="0018262B" w:rsidRPr="00D2095B" w14:paraId="56412D4C" w14:textId="77777777" w:rsidTr="0018262B">
        <w:tc>
          <w:tcPr>
            <w:tcW w:w="6232" w:type="dxa"/>
            <w:gridSpan w:val="4"/>
            <w:tcBorders>
              <w:bottom w:val="single" w:sz="4" w:space="0" w:color="auto"/>
            </w:tcBorders>
            <w:shd w:val="clear" w:color="auto" w:fill="auto"/>
          </w:tcPr>
          <w:p w14:paraId="45220593" w14:textId="77777777" w:rsidR="0018262B" w:rsidRPr="00705357" w:rsidRDefault="0018262B" w:rsidP="00F77595">
            <w:pPr>
              <w:rPr>
                <w:rFonts w:ascii="Calibri" w:eastAsia="Calibri" w:hAnsi="Calibri" w:cs="Calibri"/>
                <w:b/>
                <w:bCs/>
                <w:color w:val="2F5496" w:themeColor="accent1" w:themeShade="BF"/>
                <w:sz w:val="20"/>
                <w:szCs w:val="20"/>
              </w:rPr>
            </w:pPr>
            <w:r w:rsidRPr="00705357">
              <w:rPr>
                <w:rFonts w:cstheme="minorHAnsi"/>
                <w:sz w:val="20"/>
                <w:szCs w:val="20"/>
              </w:rPr>
              <w:t xml:space="preserve">Kujawsko – pomorskie </w:t>
            </w:r>
            <w:r w:rsidRPr="00313E0F">
              <w:rPr>
                <w:rFonts w:ascii="Calibri" w:eastAsia="Calibri" w:hAnsi="Calibri" w:cs="Calibri"/>
                <w:color w:val="C00000"/>
                <w:sz w:val="20"/>
                <w:szCs w:val="20"/>
              </w:rPr>
              <w:t>(obszar „a”)</w:t>
            </w:r>
          </w:p>
        </w:tc>
        <w:tc>
          <w:tcPr>
            <w:tcW w:w="1276" w:type="dxa"/>
            <w:vAlign w:val="center"/>
          </w:tcPr>
          <w:p w14:paraId="453CB4A4" w14:textId="2DC3952E" w:rsidR="0018262B" w:rsidRPr="009A55C2" w:rsidRDefault="00A2012B" w:rsidP="00F77595">
            <w:pPr>
              <w:jc w:val="center"/>
              <w:rPr>
                <w:rFonts w:cstheme="minorHAnsi"/>
                <w:sz w:val="20"/>
                <w:szCs w:val="20"/>
              </w:rPr>
            </w:pPr>
            <w:r>
              <w:rPr>
                <w:rFonts w:cstheme="minorHAnsi"/>
                <w:sz w:val="20"/>
                <w:szCs w:val="20"/>
              </w:rPr>
              <w:t>7</w:t>
            </w:r>
            <w:r w:rsidR="0018262B" w:rsidRPr="009A55C2">
              <w:rPr>
                <w:rFonts w:cstheme="minorHAnsi"/>
                <w:sz w:val="20"/>
                <w:szCs w:val="20"/>
              </w:rPr>
              <w:t>0%</w:t>
            </w:r>
          </w:p>
        </w:tc>
        <w:tc>
          <w:tcPr>
            <w:tcW w:w="992" w:type="dxa"/>
            <w:vAlign w:val="center"/>
          </w:tcPr>
          <w:p w14:paraId="44EAC20F" w14:textId="433ECFBE" w:rsidR="0018262B" w:rsidRPr="009A55C2" w:rsidRDefault="00A2012B" w:rsidP="00F77595">
            <w:pPr>
              <w:jc w:val="center"/>
              <w:rPr>
                <w:rFonts w:cstheme="minorHAnsi"/>
                <w:sz w:val="20"/>
                <w:szCs w:val="20"/>
              </w:rPr>
            </w:pPr>
            <w:r>
              <w:rPr>
                <w:rFonts w:cstheme="minorHAnsi"/>
                <w:sz w:val="20"/>
                <w:szCs w:val="20"/>
              </w:rPr>
              <w:t>6</w:t>
            </w:r>
            <w:r w:rsidR="0018262B" w:rsidRPr="009A55C2">
              <w:rPr>
                <w:rFonts w:cstheme="minorHAnsi"/>
                <w:sz w:val="20"/>
                <w:szCs w:val="20"/>
              </w:rPr>
              <w:t>0%</w:t>
            </w:r>
          </w:p>
        </w:tc>
        <w:tc>
          <w:tcPr>
            <w:tcW w:w="993" w:type="dxa"/>
            <w:tcBorders>
              <w:bottom w:val="single" w:sz="4" w:space="0" w:color="auto"/>
            </w:tcBorders>
            <w:shd w:val="clear" w:color="auto" w:fill="auto"/>
          </w:tcPr>
          <w:p w14:paraId="7D23820D" w14:textId="5BB4882F" w:rsidR="0018262B" w:rsidRPr="00D2095B" w:rsidRDefault="00A2012B" w:rsidP="00F77595">
            <w:pPr>
              <w:jc w:val="center"/>
              <w:rPr>
                <w:rFonts w:ascii="Calibri" w:eastAsia="Calibri" w:hAnsi="Calibri" w:cs="Calibri"/>
                <w:b/>
                <w:bCs/>
                <w:sz w:val="20"/>
                <w:szCs w:val="20"/>
              </w:rPr>
            </w:pPr>
            <w:r>
              <w:rPr>
                <w:rFonts w:cstheme="minorHAnsi"/>
                <w:sz w:val="20"/>
                <w:szCs w:val="20"/>
              </w:rPr>
              <w:t>5</w:t>
            </w:r>
            <w:r w:rsidR="0018262B" w:rsidRPr="00D2095B">
              <w:rPr>
                <w:rFonts w:cstheme="minorHAnsi"/>
                <w:sz w:val="20"/>
                <w:szCs w:val="20"/>
              </w:rPr>
              <w:t>0%</w:t>
            </w:r>
          </w:p>
        </w:tc>
      </w:tr>
      <w:tr w:rsidR="0018262B" w:rsidRPr="00D2095B" w14:paraId="34C8C6D2" w14:textId="77777777" w:rsidTr="0018262B">
        <w:tc>
          <w:tcPr>
            <w:tcW w:w="6232" w:type="dxa"/>
            <w:gridSpan w:val="4"/>
            <w:tcBorders>
              <w:bottom w:val="single" w:sz="4" w:space="0" w:color="auto"/>
            </w:tcBorders>
            <w:shd w:val="clear" w:color="auto" w:fill="auto"/>
          </w:tcPr>
          <w:p w14:paraId="1D73B120" w14:textId="77777777" w:rsidR="0018262B" w:rsidRPr="00705357" w:rsidRDefault="0018262B" w:rsidP="00F77595">
            <w:pPr>
              <w:rPr>
                <w:rFonts w:ascii="Calibri" w:eastAsia="Calibri" w:hAnsi="Calibri" w:cs="Calibri"/>
                <w:b/>
                <w:bCs/>
                <w:color w:val="2F5496" w:themeColor="accent1" w:themeShade="BF"/>
                <w:sz w:val="20"/>
                <w:szCs w:val="20"/>
              </w:rPr>
            </w:pPr>
            <w:r w:rsidRPr="00705357">
              <w:rPr>
                <w:rFonts w:cstheme="minorHAnsi"/>
                <w:sz w:val="20"/>
                <w:szCs w:val="20"/>
              </w:rPr>
              <w:t xml:space="preserve">Lubuskie </w:t>
            </w:r>
            <w:r w:rsidRPr="00313E0F">
              <w:rPr>
                <w:rFonts w:ascii="Calibri" w:eastAsia="Calibri" w:hAnsi="Calibri" w:cs="Calibri"/>
                <w:color w:val="C00000"/>
                <w:sz w:val="20"/>
                <w:szCs w:val="20"/>
              </w:rPr>
              <w:t>(obszar „a”)</w:t>
            </w:r>
          </w:p>
        </w:tc>
        <w:tc>
          <w:tcPr>
            <w:tcW w:w="1276" w:type="dxa"/>
            <w:vAlign w:val="center"/>
          </w:tcPr>
          <w:p w14:paraId="7A5EDD68" w14:textId="37D95CF3" w:rsidR="0018262B" w:rsidRPr="00D2095B" w:rsidRDefault="00A2012B" w:rsidP="00F77595">
            <w:pPr>
              <w:jc w:val="center"/>
              <w:rPr>
                <w:rFonts w:ascii="Calibri" w:eastAsia="Calibri" w:hAnsi="Calibri" w:cs="Calibri"/>
                <w:b/>
                <w:bCs/>
                <w:sz w:val="20"/>
                <w:szCs w:val="20"/>
              </w:rPr>
            </w:pPr>
            <w:r>
              <w:rPr>
                <w:rFonts w:cstheme="minorHAnsi"/>
                <w:sz w:val="20"/>
                <w:szCs w:val="20"/>
              </w:rPr>
              <w:t>7</w:t>
            </w:r>
            <w:r w:rsidR="0018262B" w:rsidRPr="009A55C2">
              <w:rPr>
                <w:rFonts w:cstheme="minorHAnsi"/>
                <w:sz w:val="20"/>
                <w:szCs w:val="20"/>
              </w:rPr>
              <w:t>0%</w:t>
            </w:r>
          </w:p>
        </w:tc>
        <w:tc>
          <w:tcPr>
            <w:tcW w:w="992" w:type="dxa"/>
            <w:vAlign w:val="center"/>
          </w:tcPr>
          <w:p w14:paraId="2460D53F" w14:textId="28CFA301" w:rsidR="0018262B" w:rsidRPr="00D2095B" w:rsidRDefault="00A2012B" w:rsidP="00F77595">
            <w:pPr>
              <w:jc w:val="center"/>
              <w:rPr>
                <w:rFonts w:ascii="Calibri" w:eastAsia="Calibri" w:hAnsi="Calibri" w:cs="Calibri"/>
                <w:b/>
                <w:bCs/>
                <w:sz w:val="20"/>
                <w:szCs w:val="20"/>
              </w:rPr>
            </w:pPr>
            <w:r>
              <w:rPr>
                <w:rFonts w:cstheme="minorHAnsi"/>
                <w:sz w:val="20"/>
                <w:szCs w:val="20"/>
              </w:rPr>
              <w:t>6</w:t>
            </w:r>
            <w:r w:rsidR="0018262B" w:rsidRPr="009A55C2">
              <w:rPr>
                <w:rFonts w:cstheme="minorHAnsi"/>
                <w:sz w:val="20"/>
                <w:szCs w:val="20"/>
              </w:rPr>
              <w:t>0%</w:t>
            </w:r>
          </w:p>
        </w:tc>
        <w:tc>
          <w:tcPr>
            <w:tcW w:w="993" w:type="dxa"/>
            <w:tcBorders>
              <w:bottom w:val="single" w:sz="4" w:space="0" w:color="auto"/>
            </w:tcBorders>
            <w:shd w:val="clear" w:color="auto" w:fill="auto"/>
          </w:tcPr>
          <w:p w14:paraId="31E18C1B" w14:textId="40AD3734" w:rsidR="0018262B" w:rsidRPr="00D2095B" w:rsidRDefault="00A2012B" w:rsidP="00F77595">
            <w:pPr>
              <w:jc w:val="center"/>
              <w:rPr>
                <w:rFonts w:ascii="Calibri" w:eastAsia="Calibri" w:hAnsi="Calibri" w:cs="Calibri"/>
                <w:b/>
                <w:bCs/>
                <w:sz w:val="20"/>
                <w:szCs w:val="20"/>
              </w:rPr>
            </w:pPr>
            <w:r>
              <w:rPr>
                <w:rFonts w:cstheme="minorHAnsi"/>
                <w:sz w:val="20"/>
                <w:szCs w:val="20"/>
              </w:rPr>
              <w:t>5</w:t>
            </w:r>
            <w:r w:rsidR="0018262B" w:rsidRPr="00D2095B">
              <w:rPr>
                <w:rFonts w:cstheme="minorHAnsi"/>
                <w:sz w:val="20"/>
                <w:szCs w:val="20"/>
              </w:rPr>
              <w:t>0%</w:t>
            </w:r>
          </w:p>
        </w:tc>
      </w:tr>
      <w:tr w:rsidR="0018262B" w:rsidRPr="00D2095B" w14:paraId="71D40C2C" w14:textId="77777777" w:rsidTr="0018262B">
        <w:tc>
          <w:tcPr>
            <w:tcW w:w="6232" w:type="dxa"/>
            <w:gridSpan w:val="4"/>
            <w:tcBorders>
              <w:bottom w:val="single" w:sz="4" w:space="0" w:color="auto"/>
            </w:tcBorders>
            <w:shd w:val="clear" w:color="auto" w:fill="auto"/>
          </w:tcPr>
          <w:p w14:paraId="1580260E" w14:textId="77777777" w:rsidR="0018262B" w:rsidRPr="00705357" w:rsidRDefault="0018262B" w:rsidP="00F77595">
            <w:pPr>
              <w:rPr>
                <w:rFonts w:ascii="Calibri" w:eastAsia="Calibri" w:hAnsi="Calibri" w:cs="Calibri"/>
                <w:b/>
                <w:bCs/>
                <w:color w:val="2F5496" w:themeColor="accent1" w:themeShade="BF"/>
                <w:sz w:val="20"/>
                <w:szCs w:val="20"/>
              </w:rPr>
            </w:pPr>
            <w:r w:rsidRPr="00705357">
              <w:rPr>
                <w:rFonts w:cstheme="minorHAnsi"/>
                <w:sz w:val="20"/>
                <w:szCs w:val="20"/>
              </w:rPr>
              <w:t xml:space="preserve">Opolskie </w:t>
            </w:r>
            <w:r w:rsidRPr="00313E0F">
              <w:rPr>
                <w:rFonts w:ascii="Calibri" w:eastAsia="Calibri" w:hAnsi="Calibri" w:cs="Calibri"/>
                <w:color w:val="C00000"/>
                <w:sz w:val="20"/>
                <w:szCs w:val="20"/>
              </w:rPr>
              <w:t>(obszar „a”)</w:t>
            </w:r>
          </w:p>
        </w:tc>
        <w:tc>
          <w:tcPr>
            <w:tcW w:w="1276" w:type="dxa"/>
            <w:vAlign w:val="center"/>
          </w:tcPr>
          <w:p w14:paraId="7040B0AA" w14:textId="502B9790" w:rsidR="0018262B" w:rsidRPr="00D2095B" w:rsidRDefault="00A2012B" w:rsidP="00F77595">
            <w:pPr>
              <w:jc w:val="center"/>
              <w:rPr>
                <w:rFonts w:ascii="Calibri" w:eastAsia="Calibri" w:hAnsi="Calibri" w:cs="Calibri"/>
                <w:b/>
                <w:bCs/>
                <w:sz w:val="20"/>
                <w:szCs w:val="20"/>
              </w:rPr>
            </w:pPr>
            <w:r>
              <w:rPr>
                <w:rFonts w:cstheme="minorHAnsi"/>
                <w:sz w:val="20"/>
                <w:szCs w:val="20"/>
              </w:rPr>
              <w:t>7</w:t>
            </w:r>
            <w:r w:rsidR="0018262B" w:rsidRPr="009A55C2">
              <w:rPr>
                <w:rFonts w:cstheme="minorHAnsi"/>
                <w:sz w:val="20"/>
                <w:szCs w:val="20"/>
              </w:rPr>
              <w:t>0%</w:t>
            </w:r>
          </w:p>
        </w:tc>
        <w:tc>
          <w:tcPr>
            <w:tcW w:w="992" w:type="dxa"/>
            <w:vAlign w:val="center"/>
          </w:tcPr>
          <w:p w14:paraId="7CC651D4" w14:textId="336248B4" w:rsidR="0018262B" w:rsidRPr="00D2095B" w:rsidRDefault="00A2012B" w:rsidP="00F77595">
            <w:pPr>
              <w:jc w:val="center"/>
              <w:rPr>
                <w:rFonts w:ascii="Calibri" w:eastAsia="Calibri" w:hAnsi="Calibri" w:cs="Calibri"/>
                <w:b/>
                <w:bCs/>
                <w:sz w:val="20"/>
                <w:szCs w:val="20"/>
              </w:rPr>
            </w:pPr>
            <w:r>
              <w:rPr>
                <w:rFonts w:cstheme="minorHAnsi"/>
                <w:sz w:val="20"/>
                <w:szCs w:val="20"/>
              </w:rPr>
              <w:t>6</w:t>
            </w:r>
            <w:r w:rsidR="0018262B" w:rsidRPr="009A55C2">
              <w:rPr>
                <w:rFonts w:cstheme="minorHAnsi"/>
                <w:sz w:val="20"/>
                <w:szCs w:val="20"/>
              </w:rPr>
              <w:t>0%</w:t>
            </w:r>
          </w:p>
        </w:tc>
        <w:tc>
          <w:tcPr>
            <w:tcW w:w="993" w:type="dxa"/>
            <w:tcBorders>
              <w:bottom w:val="single" w:sz="4" w:space="0" w:color="auto"/>
            </w:tcBorders>
            <w:shd w:val="clear" w:color="auto" w:fill="auto"/>
          </w:tcPr>
          <w:p w14:paraId="5F3E3DC1" w14:textId="5C8BEF9D" w:rsidR="0018262B" w:rsidRPr="00D2095B" w:rsidRDefault="00A2012B" w:rsidP="00F77595">
            <w:pPr>
              <w:jc w:val="center"/>
              <w:rPr>
                <w:rFonts w:ascii="Calibri" w:eastAsia="Calibri" w:hAnsi="Calibri" w:cs="Calibri"/>
                <w:b/>
                <w:bCs/>
                <w:sz w:val="20"/>
                <w:szCs w:val="20"/>
              </w:rPr>
            </w:pPr>
            <w:r>
              <w:rPr>
                <w:rFonts w:cstheme="minorHAnsi"/>
                <w:sz w:val="20"/>
                <w:szCs w:val="20"/>
              </w:rPr>
              <w:t>5</w:t>
            </w:r>
            <w:r w:rsidR="0018262B" w:rsidRPr="00D2095B">
              <w:rPr>
                <w:rFonts w:cstheme="minorHAnsi"/>
                <w:sz w:val="20"/>
                <w:szCs w:val="20"/>
              </w:rPr>
              <w:t>0%</w:t>
            </w:r>
          </w:p>
        </w:tc>
      </w:tr>
      <w:tr w:rsidR="0018262B" w:rsidRPr="00D2095B" w14:paraId="79F3B44B" w14:textId="77777777" w:rsidTr="0018262B">
        <w:tc>
          <w:tcPr>
            <w:tcW w:w="6232" w:type="dxa"/>
            <w:gridSpan w:val="4"/>
            <w:tcBorders>
              <w:bottom w:val="single" w:sz="4" w:space="0" w:color="auto"/>
            </w:tcBorders>
            <w:shd w:val="clear" w:color="auto" w:fill="auto"/>
          </w:tcPr>
          <w:p w14:paraId="6EE3E5DF" w14:textId="77777777" w:rsidR="0018262B" w:rsidRPr="00705357" w:rsidRDefault="0018262B" w:rsidP="00F77595">
            <w:pPr>
              <w:rPr>
                <w:rFonts w:ascii="Calibri" w:eastAsia="Calibri" w:hAnsi="Calibri" w:cs="Calibri"/>
                <w:b/>
                <w:bCs/>
                <w:color w:val="2F5496" w:themeColor="accent1" w:themeShade="BF"/>
                <w:sz w:val="20"/>
                <w:szCs w:val="20"/>
              </w:rPr>
            </w:pPr>
            <w:r w:rsidRPr="00705357">
              <w:rPr>
                <w:rFonts w:cstheme="minorHAnsi"/>
                <w:sz w:val="20"/>
                <w:szCs w:val="20"/>
              </w:rPr>
              <w:t xml:space="preserve">Zachodniopomorskie </w:t>
            </w:r>
            <w:r w:rsidRPr="00313E0F">
              <w:rPr>
                <w:rFonts w:ascii="Calibri" w:eastAsia="Calibri" w:hAnsi="Calibri" w:cs="Calibri"/>
                <w:color w:val="C00000"/>
                <w:sz w:val="20"/>
                <w:szCs w:val="20"/>
              </w:rPr>
              <w:t>(obszar „a”)</w:t>
            </w:r>
          </w:p>
        </w:tc>
        <w:tc>
          <w:tcPr>
            <w:tcW w:w="1276" w:type="dxa"/>
            <w:vAlign w:val="center"/>
          </w:tcPr>
          <w:p w14:paraId="37F69FD0" w14:textId="7F744C26" w:rsidR="0018262B" w:rsidRPr="00D2095B" w:rsidRDefault="00A2012B" w:rsidP="00F77595">
            <w:pPr>
              <w:jc w:val="center"/>
              <w:rPr>
                <w:rFonts w:ascii="Calibri" w:eastAsia="Calibri" w:hAnsi="Calibri" w:cs="Calibri"/>
                <w:b/>
                <w:bCs/>
                <w:sz w:val="20"/>
                <w:szCs w:val="20"/>
              </w:rPr>
            </w:pPr>
            <w:r>
              <w:rPr>
                <w:rFonts w:cstheme="minorHAnsi"/>
                <w:sz w:val="20"/>
                <w:szCs w:val="20"/>
              </w:rPr>
              <w:t>7</w:t>
            </w:r>
            <w:r w:rsidR="0018262B" w:rsidRPr="009A55C2">
              <w:rPr>
                <w:rFonts w:cstheme="minorHAnsi"/>
                <w:sz w:val="20"/>
                <w:szCs w:val="20"/>
              </w:rPr>
              <w:t>0%</w:t>
            </w:r>
          </w:p>
        </w:tc>
        <w:tc>
          <w:tcPr>
            <w:tcW w:w="992" w:type="dxa"/>
            <w:vAlign w:val="center"/>
          </w:tcPr>
          <w:p w14:paraId="0B5DB586" w14:textId="2B9A4026" w:rsidR="0018262B" w:rsidRPr="00D2095B" w:rsidRDefault="00A2012B" w:rsidP="00F77595">
            <w:pPr>
              <w:jc w:val="center"/>
              <w:rPr>
                <w:rFonts w:ascii="Calibri" w:eastAsia="Calibri" w:hAnsi="Calibri" w:cs="Calibri"/>
                <w:b/>
                <w:bCs/>
                <w:sz w:val="20"/>
                <w:szCs w:val="20"/>
              </w:rPr>
            </w:pPr>
            <w:r>
              <w:rPr>
                <w:rFonts w:cstheme="minorHAnsi"/>
                <w:sz w:val="20"/>
                <w:szCs w:val="20"/>
              </w:rPr>
              <w:t>6</w:t>
            </w:r>
            <w:r w:rsidR="0018262B" w:rsidRPr="009A55C2">
              <w:rPr>
                <w:rFonts w:cstheme="minorHAnsi"/>
                <w:sz w:val="20"/>
                <w:szCs w:val="20"/>
              </w:rPr>
              <w:t>0%</w:t>
            </w:r>
          </w:p>
        </w:tc>
        <w:tc>
          <w:tcPr>
            <w:tcW w:w="993" w:type="dxa"/>
            <w:tcBorders>
              <w:bottom w:val="single" w:sz="4" w:space="0" w:color="auto"/>
            </w:tcBorders>
            <w:shd w:val="clear" w:color="auto" w:fill="auto"/>
          </w:tcPr>
          <w:p w14:paraId="250989AF" w14:textId="579BAC79" w:rsidR="0018262B" w:rsidRPr="00D2095B" w:rsidRDefault="00A2012B" w:rsidP="00F77595">
            <w:pPr>
              <w:jc w:val="center"/>
              <w:rPr>
                <w:rFonts w:ascii="Calibri" w:eastAsia="Calibri" w:hAnsi="Calibri" w:cs="Calibri"/>
                <w:b/>
                <w:bCs/>
                <w:sz w:val="20"/>
                <w:szCs w:val="20"/>
              </w:rPr>
            </w:pPr>
            <w:r>
              <w:rPr>
                <w:rFonts w:cstheme="minorHAnsi"/>
                <w:sz w:val="20"/>
                <w:szCs w:val="20"/>
              </w:rPr>
              <w:t>5</w:t>
            </w:r>
            <w:r w:rsidR="0018262B" w:rsidRPr="00D2095B">
              <w:rPr>
                <w:rFonts w:cstheme="minorHAnsi"/>
                <w:sz w:val="20"/>
                <w:szCs w:val="20"/>
              </w:rPr>
              <w:t>0%</w:t>
            </w:r>
          </w:p>
        </w:tc>
      </w:tr>
      <w:tr w:rsidR="0018262B" w:rsidRPr="00D2095B" w14:paraId="088B2E3D" w14:textId="77777777" w:rsidTr="0018262B">
        <w:tc>
          <w:tcPr>
            <w:tcW w:w="6232" w:type="dxa"/>
            <w:gridSpan w:val="4"/>
            <w:tcBorders>
              <w:bottom w:val="single" w:sz="4" w:space="0" w:color="auto"/>
            </w:tcBorders>
            <w:shd w:val="clear" w:color="auto" w:fill="auto"/>
          </w:tcPr>
          <w:p w14:paraId="1558AA85" w14:textId="77777777" w:rsidR="0018262B" w:rsidRPr="00705357" w:rsidRDefault="0018262B" w:rsidP="00F77595">
            <w:pPr>
              <w:rPr>
                <w:rFonts w:ascii="Calibri" w:eastAsia="Calibri" w:hAnsi="Calibri" w:cs="Calibri"/>
                <w:b/>
                <w:bCs/>
                <w:color w:val="2F5496" w:themeColor="accent1" w:themeShade="BF"/>
                <w:sz w:val="20"/>
                <w:szCs w:val="20"/>
              </w:rPr>
            </w:pPr>
            <w:r w:rsidRPr="00705357">
              <w:rPr>
                <w:rFonts w:cstheme="minorHAnsi"/>
                <w:sz w:val="20"/>
                <w:szCs w:val="20"/>
              </w:rPr>
              <w:t xml:space="preserve">Pomorskie </w:t>
            </w:r>
            <w:r w:rsidRPr="00313E0F">
              <w:rPr>
                <w:rFonts w:ascii="Calibri" w:eastAsia="Calibri" w:hAnsi="Calibri" w:cs="Calibri"/>
                <w:color w:val="C00000"/>
                <w:sz w:val="20"/>
                <w:szCs w:val="20"/>
              </w:rPr>
              <w:t>(obszar „a”)</w:t>
            </w:r>
          </w:p>
        </w:tc>
        <w:tc>
          <w:tcPr>
            <w:tcW w:w="1276" w:type="dxa"/>
            <w:tcBorders>
              <w:bottom w:val="single" w:sz="4" w:space="0" w:color="auto"/>
            </w:tcBorders>
            <w:shd w:val="clear" w:color="auto" w:fill="auto"/>
          </w:tcPr>
          <w:p w14:paraId="05925ACE" w14:textId="0A34806B" w:rsidR="0018262B" w:rsidRPr="009A55C2" w:rsidRDefault="00A2012B" w:rsidP="00F77595">
            <w:pPr>
              <w:jc w:val="center"/>
              <w:rPr>
                <w:rFonts w:ascii="Calibri" w:eastAsia="Calibri" w:hAnsi="Calibri" w:cs="Calibri"/>
                <w:sz w:val="20"/>
                <w:szCs w:val="20"/>
              </w:rPr>
            </w:pPr>
            <w:r>
              <w:rPr>
                <w:rFonts w:ascii="Calibri" w:eastAsia="Calibri" w:hAnsi="Calibri" w:cs="Calibri"/>
                <w:sz w:val="20"/>
                <w:szCs w:val="20"/>
              </w:rPr>
              <w:t>6</w:t>
            </w:r>
            <w:r w:rsidR="0018262B" w:rsidRPr="009A55C2">
              <w:rPr>
                <w:rFonts w:ascii="Calibri" w:eastAsia="Calibri" w:hAnsi="Calibri" w:cs="Calibri"/>
                <w:sz w:val="20"/>
                <w:szCs w:val="20"/>
              </w:rPr>
              <w:t>0%</w:t>
            </w:r>
          </w:p>
        </w:tc>
        <w:tc>
          <w:tcPr>
            <w:tcW w:w="992" w:type="dxa"/>
            <w:tcBorders>
              <w:bottom w:val="single" w:sz="4" w:space="0" w:color="auto"/>
            </w:tcBorders>
            <w:shd w:val="clear" w:color="auto" w:fill="auto"/>
          </w:tcPr>
          <w:p w14:paraId="5AB243F0" w14:textId="1B2F2FE9" w:rsidR="0018262B" w:rsidRPr="009A55C2" w:rsidRDefault="00A2012B" w:rsidP="00F77595">
            <w:pPr>
              <w:jc w:val="center"/>
              <w:rPr>
                <w:rFonts w:ascii="Calibri" w:eastAsia="Calibri" w:hAnsi="Calibri" w:cs="Calibri"/>
                <w:sz w:val="20"/>
                <w:szCs w:val="20"/>
              </w:rPr>
            </w:pPr>
            <w:r>
              <w:rPr>
                <w:rFonts w:ascii="Calibri" w:eastAsia="Calibri" w:hAnsi="Calibri" w:cs="Calibri"/>
                <w:sz w:val="20"/>
                <w:szCs w:val="20"/>
              </w:rPr>
              <w:t>5</w:t>
            </w:r>
            <w:r w:rsidR="0018262B" w:rsidRPr="009A55C2">
              <w:rPr>
                <w:rFonts w:ascii="Calibri" w:eastAsia="Calibri" w:hAnsi="Calibri" w:cs="Calibri"/>
                <w:sz w:val="20"/>
                <w:szCs w:val="20"/>
              </w:rPr>
              <w:t>0%</w:t>
            </w:r>
          </w:p>
        </w:tc>
        <w:tc>
          <w:tcPr>
            <w:tcW w:w="993" w:type="dxa"/>
            <w:tcBorders>
              <w:bottom w:val="single" w:sz="4" w:space="0" w:color="auto"/>
            </w:tcBorders>
            <w:shd w:val="clear" w:color="auto" w:fill="auto"/>
          </w:tcPr>
          <w:p w14:paraId="03E52363" w14:textId="7C4DC978" w:rsidR="0018262B" w:rsidRPr="009A55C2" w:rsidRDefault="00A2012B" w:rsidP="00F77595">
            <w:pPr>
              <w:jc w:val="center"/>
              <w:rPr>
                <w:rFonts w:ascii="Calibri" w:eastAsia="Calibri" w:hAnsi="Calibri" w:cs="Calibri"/>
                <w:sz w:val="20"/>
                <w:szCs w:val="20"/>
              </w:rPr>
            </w:pPr>
            <w:r>
              <w:rPr>
                <w:rFonts w:cstheme="minorHAnsi"/>
                <w:sz w:val="20"/>
                <w:szCs w:val="20"/>
              </w:rPr>
              <w:t>4</w:t>
            </w:r>
            <w:r w:rsidR="0018262B" w:rsidRPr="009A55C2">
              <w:rPr>
                <w:rFonts w:cstheme="minorHAnsi"/>
                <w:sz w:val="20"/>
                <w:szCs w:val="20"/>
              </w:rPr>
              <w:t>0%</w:t>
            </w:r>
          </w:p>
        </w:tc>
      </w:tr>
      <w:tr w:rsidR="0018262B" w:rsidRPr="002D66B7" w14:paraId="1B2A8191" w14:textId="77777777" w:rsidTr="0018262B">
        <w:tc>
          <w:tcPr>
            <w:tcW w:w="1555" w:type="dxa"/>
            <w:vMerge w:val="restart"/>
            <w:shd w:val="clear" w:color="auto" w:fill="C0D7EC"/>
            <w:vAlign w:val="center"/>
          </w:tcPr>
          <w:p w14:paraId="5E798026" w14:textId="77777777" w:rsidR="0018262B" w:rsidRDefault="0018262B" w:rsidP="00F77595">
            <w:pPr>
              <w:jc w:val="center"/>
              <w:rPr>
                <w:rFonts w:ascii="Calibri" w:eastAsia="Calibri" w:hAnsi="Calibri" w:cs="Calibri"/>
                <w:b/>
                <w:bCs/>
                <w:sz w:val="20"/>
                <w:szCs w:val="20"/>
              </w:rPr>
            </w:pPr>
            <w:r w:rsidRPr="002D66B7">
              <w:rPr>
                <w:rFonts w:ascii="Calibri" w:eastAsia="Calibri" w:hAnsi="Calibri" w:cs="Calibri"/>
                <w:b/>
                <w:bCs/>
                <w:sz w:val="20"/>
                <w:szCs w:val="20"/>
              </w:rPr>
              <w:t>Województwo</w:t>
            </w:r>
          </w:p>
          <w:p w14:paraId="76360F2A" w14:textId="77777777" w:rsidR="0018262B" w:rsidRPr="002D66B7" w:rsidRDefault="0018262B" w:rsidP="00F77595">
            <w:pPr>
              <w:jc w:val="center"/>
              <w:rPr>
                <w:rFonts w:ascii="Calibri" w:eastAsia="Calibri" w:hAnsi="Calibri" w:cs="Calibri"/>
                <w:b/>
                <w:bCs/>
                <w:sz w:val="20"/>
                <w:szCs w:val="20"/>
              </w:rPr>
            </w:pPr>
          </w:p>
        </w:tc>
        <w:tc>
          <w:tcPr>
            <w:tcW w:w="1417" w:type="dxa"/>
            <w:vMerge w:val="restart"/>
            <w:shd w:val="clear" w:color="auto" w:fill="C0D7EC"/>
            <w:vAlign w:val="center"/>
          </w:tcPr>
          <w:p w14:paraId="12F0A48A" w14:textId="77777777" w:rsidR="0018262B" w:rsidRDefault="0018262B" w:rsidP="00F77595">
            <w:pPr>
              <w:jc w:val="center"/>
              <w:rPr>
                <w:rFonts w:ascii="Calibri" w:eastAsia="Calibri" w:hAnsi="Calibri" w:cs="Calibri"/>
                <w:b/>
                <w:bCs/>
                <w:sz w:val="20"/>
                <w:szCs w:val="20"/>
              </w:rPr>
            </w:pPr>
            <w:r w:rsidRPr="002D66B7">
              <w:rPr>
                <w:rFonts w:ascii="Calibri" w:eastAsia="Calibri" w:hAnsi="Calibri" w:cs="Calibri"/>
                <w:b/>
                <w:bCs/>
                <w:sz w:val="20"/>
                <w:szCs w:val="20"/>
              </w:rPr>
              <w:t>Podregion</w:t>
            </w:r>
          </w:p>
          <w:p w14:paraId="34E4F35D" w14:textId="77777777" w:rsidR="0018262B" w:rsidRPr="002D66B7" w:rsidRDefault="0018262B" w:rsidP="00F77595">
            <w:pPr>
              <w:jc w:val="center"/>
              <w:rPr>
                <w:rFonts w:ascii="Calibri" w:eastAsia="Calibri" w:hAnsi="Calibri" w:cs="Calibri"/>
                <w:b/>
                <w:bCs/>
                <w:sz w:val="20"/>
                <w:szCs w:val="20"/>
              </w:rPr>
            </w:pPr>
            <w:r w:rsidRPr="00313E0F">
              <w:rPr>
                <w:rFonts w:ascii="Calibri" w:eastAsia="Calibri" w:hAnsi="Calibri" w:cs="Calibri"/>
                <w:b/>
                <w:bCs/>
                <w:color w:val="C00000"/>
                <w:sz w:val="20"/>
                <w:szCs w:val="20"/>
              </w:rPr>
              <w:t>NUTS 3</w:t>
            </w:r>
          </w:p>
        </w:tc>
        <w:tc>
          <w:tcPr>
            <w:tcW w:w="3260" w:type="dxa"/>
            <w:gridSpan w:val="2"/>
            <w:vMerge w:val="restart"/>
            <w:shd w:val="clear" w:color="auto" w:fill="C0D7EC"/>
            <w:vAlign w:val="center"/>
          </w:tcPr>
          <w:p w14:paraId="4E58F739" w14:textId="77777777" w:rsidR="0018262B" w:rsidRPr="002D66B7" w:rsidRDefault="0018262B" w:rsidP="00F77595">
            <w:pPr>
              <w:jc w:val="center"/>
              <w:rPr>
                <w:rFonts w:ascii="Calibri" w:eastAsia="Calibri" w:hAnsi="Calibri" w:cs="Calibri"/>
                <w:b/>
                <w:bCs/>
                <w:sz w:val="20"/>
                <w:szCs w:val="20"/>
              </w:rPr>
            </w:pPr>
            <w:r w:rsidRPr="002D66B7">
              <w:rPr>
                <w:rFonts w:ascii="Calibri" w:eastAsia="Calibri" w:hAnsi="Calibri" w:cs="Calibri"/>
                <w:b/>
                <w:bCs/>
                <w:sz w:val="20"/>
                <w:szCs w:val="20"/>
              </w:rPr>
              <w:t>Powiat/ gmina/ miasto</w:t>
            </w:r>
          </w:p>
        </w:tc>
        <w:tc>
          <w:tcPr>
            <w:tcW w:w="3261" w:type="dxa"/>
            <w:gridSpan w:val="3"/>
            <w:tcBorders>
              <w:bottom w:val="single" w:sz="4" w:space="0" w:color="auto"/>
            </w:tcBorders>
            <w:shd w:val="clear" w:color="auto" w:fill="C0D7EC"/>
            <w:vAlign w:val="center"/>
          </w:tcPr>
          <w:p w14:paraId="461127A3" w14:textId="77777777" w:rsidR="0018262B" w:rsidRPr="002D66B7" w:rsidRDefault="0018262B" w:rsidP="00F77595">
            <w:pPr>
              <w:jc w:val="center"/>
              <w:rPr>
                <w:rFonts w:ascii="Calibri" w:eastAsia="Calibri" w:hAnsi="Calibri" w:cs="Calibri"/>
                <w:b/>
                <w:bCs/>
                <w:sz w:val="20"/>
                <w:szCs w:val="20"/>
              </w:rPr>
            </w:pPr>
            <w:r>
              <w:rPr>
                <w:rFonts w:ascii="Calibri" w:eastAsia="Calibri" w:hAnsi="Calibri" w:cs="Calibri"/>
                <w:b/>
                <w:bCs/>
                <w:sz w:val="20"/>
                <w:szCs w:val="20"/>
              </w:rPr>
              <w:t>P</w:t>
            </w:r>
            <w:r w:rsidRPr="002D66B7">
              <w:rPr>
                <w:rFonts w:ascii="Calibri" w:eastAsia="Calibri" w:hAnsi="Calibri" w:cs="Calibri"/>
                <w:b/>
                <w:bCs/>
                <w:sz w:val="20"/>
                <w:szCs w:val="20"/>
              </w:rPr>
              <w:t>rzedsiębiorstw</w:t>
            </w:r>
            <w:r>
              <w:rPr>
                <w:rFonts w:ascii="Calibri" w:eastAsia="Calibri" w:hAnsi="Calibri" w:cs="Calibri"/>
                <w:b/>
                <w:bCs/>
                <w:sz w:val="20"/>
                <w:szCs w:val="20"/>
              </w:rPr>
              <w:t>a</w:t>
            </w:r>
          </w:p>
        </w:tc>
      </w:tr>
      <w:tr w:rsidR="0018262B" w:rsidRPr="00D2095B" w14:paraId="244AADA4" w14:textId="77777777" w:rsidTr="0018262B">
        <w:tc>
          <w:tcPr>
            <w:tcW w:w="1555" w:type="dxa"/>
            <w:vMerge/>
            <w:tcBorders>
              <w:bottom w:val="single" w:sz="4" w:space="0" w:color="auto"/>
            </w:tcBorders>
            <w:shd w:val="clear" w:color="auto" w:fill="C0D7EC"/>
          </w:tcPr>
          <w:p w14:paraId="48B959FD" w14:textId="77777777" w:rsidR="0018262B" w:rsidRPr="00D2095B" w:rsidRDefault="0018262B" w:rsidP="00F77595">
            <w:pPr>
              <w:rPr>
                <w:rFonts w:ascii="Calibri" w:eastAsia="Calibri" w:hAnsi="Calibri" w:cs="Calibri"/>
                <w:b/>
                <w:bCs/>
                <w:sz w:val="20"/>
                <w:szCs w:val="20"/>
              </w:rPr>
            </w:pPr>
          </w:p>
        </w:tc>
        <w:tc>
          <w:tcPr>
            <w:tcW w:w="1417" w:type="dxa"/>
            <w:vMerge/>
            <w:tcBorders>
              <w:bottom w:val="single" w:sz="4" w:space="0" w:color="auto"/>
            </w:tcBorders>
            <w:shd w:val="clear" w:color="auto" w:fill="C0D7EC"/>
          </w:tcPr>
          <w:p w14:paraId="09BE0F3D" w14:textId="77777777" w:rsidR="0018262B" w:rsidRPr="00D2095B" w:rsidRDefault="0018262B" w:rsidP="00F77595">
            <w:pPr>
              <w:rPr>
                <w:rFonts w:ascii="Calibri" w:eastAsia="Calibri" w:hAnsi="Calibri" w:cs="Calibri"/>
                <w:b/>
                <w:bCs/>
                <w:sz w:val="20"/>
                <w:szCs w:val="20"/>
              </w:rPr>
            </w:pPr>
          </w:p>
        </w:tc>
        <w:tc>
          <w:tcPr>
            <w:tcW w:w="3260" w:type="dxa"/>
            <w:gridSpan w:val="2"/>
            <w:vMerge/>
            <w:tcBorders>
              <w:bottom w:val="single" w:sz="4" w:space="0" w:color="auto"/>
            </w:tcBorders>
            <w:shd w:val="clear" w:color="auto" w:fill="C0D7EC"/>
          </w:tcPr>
          <w:p w14:paraId="5B5B3FD8" w14:textId="77777777" w:rsidR="0018262B" w:rsidRPr="001704DE" w:rsidRDefault="0018262B" w:rsidP="00F77595">
            <w:pPr>
              <w:rPr>
                <w:rFonts w:ascii="Calibri" w:eastAsia="Calibri" w:hAnsi="Calibri" w:cs="Calibri"/>
                <w:b/>
                <w:bCs/>
                <w:color w:val="2F5496" w:themeColor="accent1" w:themeShade="BF"/>
                <w:sz w:val="20"/>
                <w:szCs w:val="20"/>
              </w:rPr>
            </w:pPr>
          </w:p>
        </w:tc>
        <w:tc>
          <w:tcPr>
            <w:tcW w:w="1276" w:type="dxa"/>
            <w:tcBorders>
              <w:bottom w:val="single" w:sz="4" w:space="0" w:color="auto"/>
            </w:tcBorders>
            <w:shd w:val="clear" w:color="auto" w:fill="C0D7EC"/>
          </w:tcPr>
          <w:p w14:paraId="56AD3382" w14:textId="77777777" w:rsidR="0018262B" w:rsidRPr="00D2095B" w:rsidRDefault="0018262B" w:rsidP="00F77595">
            <w:pPr>
              <w:jc w:val="center"/>
              <w:rPr>
                <w:rFonts w:ascii="Calibri" w:eastAsia="Calibri" w:hAnsi="Calibri" w:cs="Calibri"/>
                <w:b/>
                <w:bCs/>
                <w:sz w:val="20"/>
                <w:szCs w:val="20"/>
              </w:rPr>
            </w:pPr>
            <w:r w:rsidRPr="00D2095B">
              <w:rPr>
                <w:rFonts w:ascii="Calibri" w:eastAsia="Calibri" w:hAnsi="Calibri" w:cs="Calibri"/>
                <w:b/>
                <w:bCs/>
                <w:sz w:val="20"/>
                <w:szCs w:val="20"/>
              </w:rPr>
              <w:t>małe</w:t>
            </w:r>
          </w:p>
        </w:tc>
        <w:tc>
          <w:tcPr>
            <w:tcW w:w="992" w:type="dxa"/>
            <w:tcBorders>
              <w:bottom w:val="single" w:sz="4" w:space="0" w:color="auto"/>
            </w:tcBorders>
            <w:shd w:val="clear" w:color="auto" w:fill="C0D7EC"/>
          </w:tcPr>
          <w:p w14:paraId="4D9DED99" w14:textId="77777777" w:rsidR="0018262B" w:rsidRPr="00D2095B" w:rsidRDefault="0018262B" w:rsidP="00F77595">
            <w:pPr>
              <w:jc w:val="center"/>
              <w:rPr>
                <w:rFonts w:ascii="Calibri" w:eastAsia="Calibri" w:hAnsi="Calibri" w:cs="Calibri"/>
                <w:b/>
                <w:bCs/>
                <w:sz w:val="20"/>
                <w:szCs w:val="20"/>
              </w:rPr>
            </w:pPr>
            <w:r w:rsidRPr="00D2095B">
              <w:rPr>
                <w:rFonts w:ascii="Calibri" w:eastAsia="Calibri" w:hAnsi="Calibri" w:cs="Calibri"/>
                <w:b/>
                <w:bCs/>
                <w:sz w:val="20"/>
                <w:szCs w:val="20"/>
              </w:rPr>
              <w:t>średnie</w:t>
            </w:r>
          </w:p>
        </w:tc>
        <w:tc>
          <w:tcPr>
            <w:tcW w:w="993" w:type="dxa"/>
            <w:tcBorders>
              <w:bottom w:val="single" w:sz="4" w:space="0" w:color="auto"/>
            </w:tcBorders>
            <w:shd w:val="clear" w:color="auto" w:fill="C0D7EC"/>
          </w:tcPr>
          <w:p w14:paraId="3EB0EB96" w14:textId="7ED5DFDE" w:rsidR="0018262B" w:rsidRPr="00C73EB3" w:rsidRDefault="00C73EB3" w:rsidP="00F77595">
            <w:pPr>
              <w:jc w:val="center"/>
              <w:rPr>
                <w:rFonts w:ascii="Calibri" w:eastAsia="Calibri" w:hAnsi="Calibri" w:cs="Calibri"/>
                <w:b/>
                <w:bCs/>
                <w:sz w:val="20"/>
                <w:szCs w:val="20"/>
                <w:vertAlign w:val="superscript"/>
              </w:rPr>
            </w:pPr>
            <w:r>
              <w:rPr>
                <w:rFonts w:ascii="Calibri" w:eastAsia="Calibri" w:hAnsi="Calibri" w:cs="Calibri"/>
                <w:b/>
                <w:bCs/>
                <w:sz w:val="20"/>
                <w:szCs w:val="20"/>
              </w:rPr>
              <w:t>d</w:t>
            </w:r>
            <w:r w:rsidR="0018262B" w:rsidRPr="00D2095B">
              <w:rPr>
                <w:rFonts w:ascii="Calibri" w:eastAsia="Calibri" w:hAnsi="Calibri" w:cs="Calibri"/>
                <w:b/>
                <w:bCs/>
                <w:sz w:val="20"/>
                <w:szCs w:val="20"/>
              </w:rPr>
              <w:t>uże</w:t>
            </w:r>
            <w:r>
              <w:rPr>
                <w:rStyle w:val="Odwoanieprzypisudolnego"/>
                <w:rFonts w:ascii="Calibri" w:eastAsia="Calibri" w:hAnsi="Calibri" w:cs="Calibri"/>
                <w:b/>
                <w:bCs/>
                <w:sz w:val="20"/>
                <w:szCs w:val="20"/>
              </w:rPr>
              <w:footnoteReference w:id="16"/>
            </w:r>
          </w:p>
        </w:tc>
      </w:tr>
      <w:tr w:rsidR="0018262B" w:rsidRPr="00D2095B" w14:paraId="3D38A90D" w14:textId="77777777" w:rsidTr="0018262B">
        <w:tc>
          <w:tcPr>
            <w:tcW w:w="1555" w:type="dxa"/>
            <w:vMerge w:val="restart"/>
            <w:shd w:val="clear" w:color="auto" w:fill="F2F2F2"/>
          </w:tcPr>
          <w:p w14:paraId="5FF41F61" w14:textId="77777777" w:rsidR="0018262B" w:rsidRPr="00705357" w:rsidRDefault="0018262B" w:rsidP="00F77595">
            <w:pPr>
              <w:rPr>
                <w:rFonts w:ascii="Calibri" w:eastAsia="Calibri" w:hAnsi="Calibri" w:cs="Calibri"/>
                <w:sz w:val="20"/>
                <w:szCs w:val="20"/>
              </w:rPr>
            </w:pPr>
            <w:r w:rsidRPr="00705357">
              <w:rPr>
                <w:rFonts w:ascii="Calibri" w:eastAsia="Calibri" w:hAnsi="Calibri" w:cs="Calibri"/>
                <w:sz w:val="20"/>
                <w:szCs w:val="20"/>
              </w:rPr>
              <w:t>Ł</w:t>
            </w:r>
            <w:r w:rsidRPr="002D66B7">
              <w:rPr>
                <w:rFonts w:ascii="Calibri" w:eastAsia="Calibri" w:hAnsi="Calibri" w:cs="Calibri"/>
                <w:sz w:val="20"/>
                <w:szCs w:val="20"/>
              </w:rPr>
              <w:t>ódzkie</w:t>
            </w:r>
            <w:r w:rsidRPr="00705357">
              <w:rPr>
                <w:rFonts w:ascii="Calibri" w:eastAsia="Calibri" w:hAnsi="Calibri" w:cs="Calibri"/>
                <w:sz w:val="20"/>
                <w:szCs w:val="20"/>
              </w:rPr>
              <w:t xml:space="preserve"> </w:t>
            </w:r>
          </w:p>
          <w:p w14:paraId="3364ABEC" w14:textId="77777777" w:rsidR="0018262B" w:rsidRPr="002D66B7" w:rsidRDefault="0018262B" w:rsidP="00F77595">
            <w:pPr>
              <w:rPr>
                <w:rFonts w:ascii="Calibri" w:eastAsia="Calibri" w:hAnsi="Calibri" w:cs="Calibri"/>
                <w:sz w:val="20"/>
                <w:szCs w:val="20"/>
                <w:highlight w:val="yellow"/>
              </w:rPr>
            </w:pPr>
            <w:r w:rsidRPr="00313E0F">
              <w:rPr>
                <w:rFonts w:ascii="Calibri" w:eastAsia="Calibri" w:hAnsi="Calibri" w:cs="Calibri"/>
                <w:color w:val="C00000"/>
                <w:sz w:val="20"/>
                <w:szCs w:val="20"/>
              </w:rPr>
              <w:t>(obszar „a”)</w:t>
            </w:r>
          </w:p>
        </w:tc>
        <w:tc>
          <w:tcPr>
            <w:tcW w:w="1417" w:type="dxa"/>
            <w:shd w:val="clear" w:color="auto" w:fill="F2F2F2"/>
          </w:tcPr>
          <w:p w14:paraId="382454DA" w14:textId="77777777" w:rsidR="0018262B" w:rsidRPr="002D66B7" w:rsidRDefault="0018262B" w:rsidP="00F77595">
            <w:pPr>
              <w:rPr>
                <w:rFonts w:ascii="Calibri" w:eastAsia="Calibri" w:hAnsi="Calibri" w:cs="Calibri"/>
                <w:sz w:val="20"/>
                <w:szCs w:val="20"/>
              </w:rPr>
            </w:pPr>
            <w:r w:rsidRPr="002D66B7">
              <w:rPr>
                <w:rFonts w:ascii="Calibri" w:eastAsia="Calibri" w:hAnsi="Calibri" w:cs="Calibri"/>
                <w:sz w:val="20"/>
                <w:szCs w:val="20"/>
              </w:rPr>
              <w:t>piotr</w:t>
            </w:r>
            <w:r w:rsidRPr="00D2095B">
              <w:rPr>
                <w:rFonts w:ascii="Calibri" w:eastAsia="Calibri" w:hAnsi="Calibri" w:cs="Calibri"/>
                <w:sz w:val="20"/>
                <w:szCs w:val="20"/>
              </w:rPr>
              <w:t>k</w:t>
            </w:r>
            <w:r w:rsidRPr="002D66B7">
              <w:rPr>
                <w:rFonts w:ascii="Calibri" w:eastAsia="Calibri" w:hAnsi="Calibri" w:cs="Calibri"/>
                <w:sz w:val="20"/>
                <w:szCs w:val="20"/>
              </w:rPr>
              <w:t>owski</w:t>
            </w:r>
          </w:p>
        </w:tc>
        <w:tc>
          <w:tcPr>
            <w:tcW w:w="3260" w:type="dxa"/>
            <w:gridSpan w:val="2"/>
            <w:shd w:val="clear" w:color="auto" w:fill="F2F2F2"/>
          </w:tcPr>
          <w:p w14:paraId="64D7FA0C" w14:textId="77777777" w:rsidR="0018262B" w:rsidRPr="002D66B7" w:rsidRDefault="0018262B" w:rsidP="00F77595">
            <w:pPr>
              <w:rPr>
                <w:rFonts w:ascii="Calibri" w:eastAsia="Calibri" w:hAnsi="Calibri" w:cs="Calibri"/>
                <w:sz w:val="20"/>
                <w:szCs w:val="20"/>
              </w:rPr>
            </w:pPr>
            <w:r w:rsidRPr="002D66B7">
              <w:rPr>
                <w:rFonts w:ascii="Calibri" w:eastAsia="Calibri" w:hAnsi="Calibri" w:cs="Calibri"/>
                <w:b/>
                <w:bCs/>
                <w:sz w:val="20"/>
                <w:szCs w:val="20"/>
              </w:rPr>
              <w:t>gminy:</w:t>
            </w:r>
            <w:r w:rsidRPr="002D66B7">
              <w:rPr>
                <w:rFonts w:ascii="Calibri" w:eastAsia="Calibri" w:hAnsi="Calibri" w:cs="Calibri"/>
                <w:sz w:val="20"/>
                <w:szCs w:val="20"/>
              </w:rPr>
              <w:t xml:space="preserve"> Wola Krzysztoporska, Rozprza, Bełchatów, Drużbice, Kleszczów, Kluki, Rusiec, Szczerców, Zelów, Gorzkowice, Dobryszyce, Gomunice, Kamieńsk, Lgota Wielka, Ładzice, Radomsko;</w:t>
            </w:r>
          </w:p>
          <w:p w14:paraId="4CA089CE" w14:textId="77777777" w:rsidR="0018262B" w:rsidRPr="002D66B7" w:rsidRDefault="0018262B" w:rsidP="00F77595">
            <w:pPr>
              <w:rPr>
                <w:rFonts w:ascii="Calibri" w:eastAsia="Calibri" w:hAnsi="Calibri" w:cs="Calibri"/>
                <w:sz w:val="20"/>
                <w:szCs w:val="20"/>
              </w:rPr>
            </w:pPr>
            <w:r w:rsidRPr="002D66B7">
              <w:rPr>
                <w:rFonts w:ascii="Calibri" w:eastAsia="Calibri" w:hAnsi="Calibri" w:cs="Calibri"/>
                <w:b/>
                <w:bCs/>
                <w:sz w:val="20"/>
                <w:szCs w:val="20"/>
              </w:rPr>
              <w:t>miasta:</w:t>
            </w:r>
            <w:r w:rsidRPr="002D66B7">
              <w:rPr>
                <w:rFonts w:ascii="Calibri" w:eastAsia="Calibri" w:hAnsi="Calibri" w:cs="Arial"/>
                <w:sz w:val="20"/>
                <w:szCs w:val="20"/>
              </w:rPr>
              <w:t xml:space="preserve"> </w:t>
            </w:r>
            <w:r w:rsidRPr="002D66B7">
              <w:rPr>
                <w:rFonts w:ascii="Calibri" w:eastAsia="Calibri" w:hAnsi="Calibri" w:cs="Calibri"/>
                <w:sz w:val="20"/>
                <w:szCs w:val="20"/>
              </w:rPr>
              <w:t xml:space="preserve">Piotrków Trybunalski, Bełchatów, Radomsko </w:t>
            </w:r>
          </w:p>
        </w:tc>
        <w:tc>
          <w:tcPr>
            <w:tcW w:w="1276" w:type="dxa"/>
            <w:vMerge w:val="restart"/>
            <w:shd w:val="clear" w:color="auto" w:fill="F2F2F2"/>
            <w:vAlign w:val="center"/>
          </w:tcPr>
          <w:p w14:paraId="45D38FCF" w14:textId="0B1DEFC2" w:rsidR="0018262B" w:rsidRPr="00D2095B" w:rsidRDefault="00820E08" w:rsidP="00F77595">
            <w:pPr>
              <w:jc w:val="center"/>
              <w:rPr>
                <w:rFonts w:ascii="Calibri" w:eastAsia="Calibri" w:hAnsi="Calibri" w:cs="Calibri"/>
                <w:sz w:val="20"/>
                <w:szCs w:val="20"/>
              </w:rPr>
            </w:pPr>
            <w:r>
              <w:rPr>
                <w:rFonts w:ascii="Calibri" w:eastAsia="Calibri" w:hAnsi="Calibri" w:cs="Calibri"/>
                <w:sz w:val="20"/>
                <w:szCs w:val="20"/>
              </w:rPr>
              <w:t>75</w:t>
            </w:r>
            <w:r w:rsidR="0018262B">
              <w:rPr>
                <w:rFonts w:ascii="Calibri" w:eastAsia="Calibri" w:hAnsi="Calibri" w:cs="Calibri"/>
                <w:sz w:val="20"/>
                <w:szCs w:val="20"/>
              </w:rPr>
              <w:t>%</w:t>
            </w:r>
            <w:r w:rsidR="0018262B" w:rsidRPr="00D2095B">
              <w:rPr>
                <w:rStyle w:val="Odwoanieprzypisudolnego"/>
                <w:rFonts w:ascii="Calibri" w:eastAsia="Calibri" w:hAnsi="Calibri" w:cs="Calibri"/>
                <w:color w:val="FF0000"/>
                <w:sz w:val="20"/>
                <w:szCs w:val="20"/>
              </w:rPr>
              <w:footnoteReference w:id="17"/>
            </w:r>
          </w:p>
        </w:tc>
        <w:tc>
          <w:tcPr>
            <w:tcW w:w="992" w:type="dxa"/>
            <w:vMerge w:val="restart"/>
            <w:shd w:val="clear" w:color="auto" w:fill="F2F2F2"/>
            <w:vAlign w:val="center"/>
          </w:tcPr>
          <w:p w14:paraId="6040C839" w14:textId="16839AFA" w:rsidR="0018262B" w:rsidRPr="00D2095B" w:rsidRDefault="00A2012B" w:rsidP="00F77595">
            <w:pPr>
              <w:jc w:val="center"/>
              <w:rPr>
                <w:rFonts w:ascii="Calibri" w:eastAsia="Calibri" w:hAnsi="Calibri" w:cs="Calibri"/>
                <w:sz w:val="20"/>
                <w:szCs w:val="20"/>
              </w:rPr>
            </w:pPr>
            <w:r>
              <w:rPr>
                <w:rFonts w:ascii="Calibri" w:eastAsia="Calibri" w:hAnsi="Calibri" w:cs="Calibri"/>
                <w:sz w:val="20"/>
                <w:szCs w:val="20"/>
              </w:rPr>
              <w:t>7</w:t>
            </w:r>
            <w:r w:rsidR="0018262B">
              <w:rPr>
                <w:rFonts w:ascii="Calibri" w:eastAsia="Calibri" w:hAnsi="Calibri" w:cs="Calibri"/>
                <w:sz w:val="20"/>
                <w:szCs w:val="20"/>
              </w:rPr>
              <w:t>0%</w:t>
            </w:r>
            <w:r w:rsidR="0018262B" w:rsidRPr="00D2095B">
              <w:rPr>
                <w:rStyle w:val="Odwoanieprzypisudolnego"/>
                <w:rFonts w:ascii="Calibri" w:eastAsia="Calibri" w:hAnsi="Calibri" w:cs="Calibri"/>
                <w:color w:val="FF0000"/>
                <w:sz w:val="20"/>
                <w:szCs w:val="20"/>
              </w:rPr>
              <w:footnoteReference w:id="18"/>
            </w:r>
          </w:p>
        </w:tc>
        <w:tc>
          <w:tcPr>
            <w:tcW w:w="993" w:type="dxa"/>
            <w:vMerge w:val="restart"/>
            <w:shd w:val="clear" w:color="auto" w:fill="F2F2F2"/>
            <w:vAlign w:val="center"/>
          </w:tcPr>
          <w:p w14:paraId="304E0C3F" w14:textId="51DD36D2" w:rsidR="0018262B" w:rsidRPr="002D66B7" w:rsidRDefault="00A2012B" w:rsidP="00F77595">
            <w:pPr>
              <w:jc w:val="center"/>
              <w:rPr>
                <w:rFonts w:ascii="Calibri" w:eastAsia="Calibri" w:hAnsi="Calibri" w:cs="Calibri"/>
                <w:sz w:val="20"/>
                <w:szCs w:val="20"/>
              </w:rPr>
            </w:pPr>
            <w:r>
              <w:rPr>
                <w:rFonts w:ascii="Calibri" w:eastAsia="Calibri" w:hAnsi="Calibri" w:cs="Calibri"/>
                <w:sz w:val="20"/>
                <w:szCs w:val="20"/>
              </w:rPr>
              <w:t>6</w:t>
            </w:r>
            <w:r w:rsidR="0018262B" w:rsidRPr="002D66B7">
              <w:rPr>
                <w:rFonts w:ascii="Calibri" w:eastAsia="Calibri" w:hAnsi="Calibri" w:cs="Calibri"/>
                <w:sz w:val="20"/>
                <w:szCs w:val="20"/>
              </w:rPr>
              <w:t>0%</w:t>
            </w:r>
            <w:r w:rsidR="0018262B" w:rsidRPr="00D2095B">
              <w:rPr>
                <w:rStyle w:val="Odwoanieprzypisudolnego"/>
                <w:rFonts w:ascii="Calibri" w:eastAsia="Calibri" w:hAnsi="Calibri" w:cs="Calibri"/>
                <w:color w:val="FF0000"/>
                <w:sz w:val="20"/>
                <w:szCs w:val="20"/>
              </w:rPr>
              <w:footnoteReference w:id="19"/>
            </w:r>
          </w:p>
        </w:tc>
      </w:tr>
      <w:tr w:rsidR="0018262B" w:rsidRPr="00D2095B" w14:paraId="4E140345" w14:textId="77777777" w:rsidTr="0018262B">
        <w:tc>
          <w:tcPr>
            <w:tcW w:w="1555" w:type="dxa"/>
            <w:vMerge/>
            <w:shd w:val="clear" w:color="auto" w:fill="F2F2F2"/>
          </w:tcPr>
          <w:p w14:paraId="41BA1B3C" w14:textId="77777777" w:rsidR="0018262B" w:rsidRPr="002D66B7" w:rsidRDefault="0018262B" w:rsidP="00F77595">
            <w:pPr>
              <w:rPr>
                <w:rFonts w:ascii="Calibri" w:eastAsia="Calibri" w:hAnsi="Calibri" w:cs="Calibri"/>
                <w:sz w:val="20"/>
                <w:szCs w:val="20"/>
              </w:rPr>
            </w:pPr>
          </w:p>
        </w:tc>
        <w:tc>
          <w:tcPr>
            <w:tcW w:w="1417" w:type="dxa"/>
            <w:shd w:val="clear" w:color="auto" w:fill="F2F2F2"/>
          </w:tcPr>
          <w:p w14:paraId="1BB39987" w14:textId="77777777" w:rsidR="0018262B" w:rsidRPr="002D66B7" w:rsidRDefault="0018262B" w:rsidP="00F77595">
            <w:pPr>
              <w:rPr>
                <w:rFonts w:ascii="Calibri" w:eastAsia="Calibri" w:hAnsi="Calibri" w:cs="Calibri"/>
                <w:sz w:val="20"/>
                <w:szCs w:val="20"/>
              </w:rPr>
            </w:pPr>
            <w:r w:rsidRPr="002D66B7">
              <w:rPr>
                <w:rFonts w:ascii="Calibri" w:eastAsia="Calibri" w:hAnsi="Calibri" w:cs="Calibri"/>
                <w:sz w:val="20"/>
                <w:szCs w:val="20"/>
              </w:rPr>
              <w:t>sieradzki</w:t>
            </w:r>
          </w:p>
        </w:tc>
        <w:tc>
          <w:tcPr>
            <w:tcW w:w="3260" w:type="dxa"/>
            <w:gridSpan w:val="2"/>
            <w:shd w:val="clear" w:color="auto" w:fill="F2F2F2"/>
          </w:tcPr>
          <w:p w14:paraId="586356FD" w14:textId="65CFC115" w:rsidR="0018262B" w:rsidRPr="002D66B7" w:rsidRDefault="0018262B" w:rsidP="00F77595">
            <w:pPr>
              <w:rPr>
                <w:rFonts w:ascii="Calibri" w:eastAsia="Calibri" w:hAnsi="Calibri" w:cs="Calibri"/>
                <w:sz w:val="20"/>
                <w:szCs w:val="20"/>
              </w:rPr>
            </w:pPr>
            <w:r w:rsidRPr="002D66B7">
              <w:rPr>
                <w:rFonts w:ascii="Calibri" w:eastAsia="Calibri" w:hAnsi="Calibri" w:cs="Calibri"/>
                <w:b/>
                <w:bCs/>
                <w:sz w:val="20"/>
                <w:szCs w:val="20"/>
              </w:rPr>
              <w:t>gminy:</w:t>
            </w:r>
            <w:r>
              <w:rPr>
                <w:rFonts w:ascii="Calibri" w:eastAsia="Calibri" w:hAnsi="Calibri" w:cs="Calibri"/>
                <w:b/>
                <w:bCs/>
                <w:sz w:val="20"/>
                <w:szCs w:val="20"/>
              </w:rPr>
              <w:t xml:space="preserve"> </w:t>
            </w:r>
            <w:r w:rsidRPr="002D66B7">
              <w:rPr>
                <w:rFonts w:ascii="Calibri" w:eastAsia="Calibri" w:hAnsi="Calibri" w:cs="Calibri"/>
                <w:sz w:val="20"/>
                <w:szCs w:val="20"/>
              </w:rPr>
              <w:t>Działoszyn, Kiełczygłów, Nowa</w:t>
            </w:r>
            <w:r w:rsidR="009B4884">
              <w:rPr>
                <w:rFonts w:ascii="Calibri" w:eastAsia="Calibri" w:hAnsi="Calibri" w:cs="Calibri"/>
                <w:sz w:val="20"/>
                <w:szCs w:val="20"/>
              </w:rPr>
              <w:t xml:space="preserve"> </w:t>
            </w:r>
            <w:r w:rsidRPr="002D66B7">
              <w:rPr>
                <w:rFonts w:ascii="Calibri" w:eastAsia="Calibri" w:hAnsi="Calibri" w:cs="Calibri"/>
                <w:sz w:val="20"/>
                <w:szCs w:val="20"/>
              </w:rPr>
              <w:t xml:space="preserve">Brzeźnica, Pajęczno, Rząśnia, </w:t>
            </w:r>
          </w:p>
          <w:p w14:paraId="760D014C" w14:textId="77777777" w:rsidR="0018262B" w:rsidRPr="002D66B7" w:rsidRDefault="0018262B" w:rsidP="00F77595">
            <w:pPr>
              <w:rPr>
                <w:rFonts w:ascii="Calibri" w:eastAsia="Calibri" w:hAnsi="Calibri" w:cs="Calibri"/>
                <w:sz w:val="20"/>
                <w:szCs w:val="20"/>
              </w:rPr>
            </w:pPr>
            <w:r w:rsidRPr="002D66B7">
              <w:rPr>
                <w:rFonts w:ascii="Calibri" w:eastAsia="Calibri" w:hAnsi="Calibri" w:cs="Calibri"/>
                <w:sz w:val="20"/>
                <w:szCs w:val="20"/>
              </w:rPr>
              <w:t xml:space="preserve">Siemkowice, Strzelce Wielkie, </w:t>
            </w:r>
          </w:p>
          <w:p w14:paraId="6BF7B532" w14:textId="77777777" w:rsidR="0018262B" w:rsidRPr="002D66B7" w:rsidRDefault="0018262B" w:rsidP="00F77595">
            <w:pPr>
              <w:rPr>
                <w:rFonts w:ascii="Calibri" w:eastAsia="Calibri" w:hAnsi="Calibri" w:cs="Calibri"/>
                <w:sz w:val="20"/>
                <w:szCs w:val="20"/>
              </w:rPr>
            </w:pPr>
            <w:r w:rsidRPr="002D66B7">
              <w:rPr>
                <w:rFonts w:ascii="Calibri" w:eastAsia="Calibri" w:hAnsi="Calibri" w:cs="Calibri"/>
                <w:sz w:val="20"/>
                <w:szCs w:val="20"/>
              </w:rPr>
              <w:t xml:space="preserve">Sulmierzyce, Czarnożyły, Konopnica, </w:t>
            </w:r>
          </w:p>
          <w:p w14:paraId="18EF3148" w14:textId="77777777" w:rsidR="0018262B" w:rsidRPr="002D66B7" w:rsidRDefault="0018262B" w:rsidP="00F77595">
            <w:pPr>
              <w:rPr>
                <w:rFonts w:ascii="Calibri" w:eastAsia="Calibri" w:hAnsi="Calibri" w:cs="Calibri"/>
                <w:sz w:val="20"/>
                <w:szCs w:val="20"/>
              </w:rPr>
            </w:pPr>
            <w:r w:rsidRPr="002D66B7">
              <w:rPr>
                <w:rFonts w:ascii="Calibri" w:eastAsia="Calibri" w:hAnsi="Calibri" w:cs="Calibri"/>
                <w:sz w:val="20"/>
                <w:szCs w:val="20"/>
              </w:rPr>
              <w:t>Osjaków, Ostrówek, Wieluń, Wierzchlas, Widawa, Złoczew</w:t>
            </w:r>
          </w:p>
        </w:tc>
        <w:tc>
          <w:tcPr>
            <w:tcW w:w="1276" w:type="dxa"/>
            <w:vMerge/>
            <w:shd w:val="clear" w:color="auto" w:fill="F2F2F2"/>
            <w:vAlign w:val="center"/>
          </w:tcPr>
          <w:p w14:paraId="2B426336" w14:textId="77777777" w:rsidR="0018262B" w:rsidRPr="00D2095B" w:rsidRDefault="0018262B" w:rsidP="00F77595">
            <w:pPr>
              <w:jc w:val="center"/>
              <w:rPr>
                <w:rFonts w:ascii="Calibri" w:eastAsia="Calibri" w:hAnsi="Calibri" w:cs="Calibri"/>
                <w:sz w:val="20"/>
                <w:szCs w:val="20"/>
              </w:rPr>
            </w:pPr>
          </w:p>
        </w:tc>
        <w:tc>
          <w:tcPr>
            <w:tcW w:w="992" w:type="dxa"/>
            <w:vMerge/>
            <w:shd w:val="clear" w:color="auto" w:fill="F2F2F2"/>
            <w:vAlign w:val="center"/>
          </w:tcPr>
          <w:p w14:paraId="2CE4D01B" w14:textId="77777777" w:rsidR="0018262B" w:rsidRPr="00D2095B" w:rsidRDefault="0018262B" w:rsidP="00F77595">
            <w:pPr>
              <w:jc w:val="center"/>
              <w:rPr>
                <w:rFonts w:ascii="Calibri" w:eastAsia="Calibri" w:hAnsi="Calibri" w:cs="Calibri"/>
                <w:sz w:val="20"/>
                <w:szCs w:val="20"/>
              </w:rPr>
            </w:pPr>
          </w:p>
        </w:tc>
        <w:tc>
          <w:tcPr>
            <w:tcW w:w="993" w:type="dxa"/>
            <w:vMerge/>
            <w:shd w:val="clear" w:color="auto" w:fill="F2F2F2"/>
            <w:vAlign w:val="center"/>
          </w:tcPr>
          <w:p w14:paraId="61106C34" w14:textId="77777777" w:rsidR="0018262B" w:rsidRPr="002D66B7" w:rsidRDefault="0018262B" w:rsidP="00F77595">
            <w:pPr>
              <w:jc w:val="center"/>
              <w:rPr>
                <w:rFonts w:ascii="Calibri" w:eastAsia="Calibri" w:hAnsi="Calibri" w:cs="Calibri"/>
                <w:sz w:val="20"/>
                <w:szCs w:val="20"/>
              </w:rPr>
            </w:pPr>
          </w:p>
        </w:tc>
      </w:tr>
      <w:tr w:rsidR="0018262B" w:rsidRPr="00D2095B" w14:paraId="6279921E" w14:textId="77777777" w:rsidTr="0018262B">
        <w:tc>
          <w:tcPr>
            <w:tcW w:w="1555" w:type="dxa"/>
            <w:vMerge/>
            <w:shd w:val="clear" w:color="auto" w:fill="F2F2F2"/>
          </w:tcPr>
          <w:p w14:paraId="70CE5BFC" w14:textId="77777777" w:rsidR="0018262B" w:rsidRPr="002D66B7" w:rsidRDefault="0018262B" w:rsidP="00F77595">
            <w:pPr>
              <w:rPr>
                <w:rFonts w:ascii="Calibri" w:eastAsia="Calibri" w:hAnsi="Calibri" w:cs="Calibri"/>
                <w:sz w:val="20"/>
                <w:szCs w:val="20"/>
              </w:rPr>
            </w:pPr>
          </w:p>
        </w:tc>
        <w:tc>
          <w:tcPr>
            <w:tcW w:w="4677" w:type="dxa"/>
            <w:gridSpan w:val="3"/>
            <w:shd w:val="clear" w:color="auto" w:fill="F2F2F2"/>
          </w:tcPr>
          <w:p w14:paraId="37ABBE4B" w14:textId="7432E1B0" w:rsidR="0018262B" w:rsidRPr="002D66B7" w:rsidRDefault="0018262B" w:rsidP="00F77595">
            <w:pPr>
              <w:rPr>
                <w:rFonts w:ascii="Calibri" w:eastAsia="Calibri" w:hAnsi="Calibri" w:cs="Calibri"/>
                <w:sz w:val="20"/>
                <w:szCs w:val="20"/>
              </w:rPr>
            </w:pPr>
            <w:r w:rsidRPr="00925F75">
              <w:rPr>
                <w:rFonts w:ascii="Calibri" w:eastAsia="Calibri" w:hAnsi="Calibri" w:cs="Calibri"/>
                <w:b/>
                <w:bCs/>
                <w:sz w:val="20"/>
                <w:szCs w:val="20"/>
              </w:rPr>
              <w:t>p</w:t>
            </w:r>
            <w:r w:rsidRPr="002D66B7">
              <w:rPr>
                <w:rFonts w:ascii="Calibri" w:eastAsia="Calibri" w:hAnsi="Calibri" w:cs="Calibri"/>
                <w:b/>
                <w:bCs/>
                <w:sz w:val="20"/>
                <w:szCs w:val="20"/>
              </w:rPr>
              <w:t>ozostałe</w:t>
            </w:r>
            <w:r>
              <w:rPr>
                <w:rFonts w:ascii="Calibri" w:eastAsia="Calibri" w:hAnsi="Calibri" w:cs="Calibri"/>
                <w:sz w:val="20"/>
                <w:szCs w:val="20"/>
              </w:rPr>
              <w:t xml:space="preserve"> </w:t>
            </w:r>
            <w:r w:rsidRPr="00925F75">
              <w:rPr>
                <w:rFonts w:ascii="Calibri" w:eastAsia="Calibri" w:hAnsi="Calibri" w:cs="Calibri"/>
                <w:b/>
                <w:bCs/>
                <w:sz w:val="20"/>
                <w:szCs w:val="20"/>
              </w:rPr>
              <w:t>obszary</w:t>
            </w:r>
            <w:r>
              <w:rPr>
                <w:rFonts w:ascii="Calibri" w:eastAsia="Calibri" w:hAnsi="Calibri" w:cs="Calibri"/>
                <w:sz w:val="20"/>
                <w:szCs w:val="20"/>
              </w:rPr>
              <w:t xml:space="preserve"> woj. </w:t>
            </w:r>
            <w:r w:rsidR="00D62033">
              <w:rPr>
                <w:rFonts w:ascii="Calibri" w:eastAsia="Calibri" w:hAnsi="Calibri" w:cs="Calibri"/>
                <w:sz w:val="20"/>
                <w:szCs w:val="20"/>
              </w:rPr>
              <w:t>Ł</w:t>
            </w:r>
            <w:r>
              <w:rPr>
                <w:rFonts w:ascii="Calibri" w:eastAsia="Calibri" w:hAnsi="Calibri" w:cs="Calibri"/>
                <w:sz w:val="20"/>
                <w:szCs w:val="20"/>
              </w:rPr>
              <w:t>ódzkiego</w:t>
            </w:r>
          </w:p>
        </w:tc>
        <w:tc>
          <w:tcPr>
            <w:tcW w:w="1276" w:type="dxa"/>
            <w:shd w:val="clear" w:color="auto" w:fill="F2F2F2"/>
            <w:vAlign w:val="center"/>
          </w:tcPr>
          <w:p w14:paraId="52B024E0" w14:textId="2E8CF380" w:rsidR="0018262B" w:rsidRPr="00D2095B" w:rsidRDefault="00A2012B" w:rsidP="00F77595">
            <w:pPr>
              <w:jc w:val="center"/>
              <w:rPr>
                <w:rFonts w:ascii="Calibri" w:eastAsia="Calibri" w:hAnsi="Calibri" w:cs="Calibri"/>
                <w:sz w:val="20"/>
                <w:szCs w:val="20"/>
              </w:rPr>
            </w:pPr>
            <w:r>
              <w:rPr>
                <w:rFonts w:ascii="Calibri" w:eastAsia="Calibri" w:hAnsi="Calibri" w:cs="Calibri"/>
                <w:sz w:val="20"/>
                <w:szCs w:val="20"/>
              </w:rPr>
              <w:t>7</w:t>
            </w:r>
            <w:r w:rsidR="0018262B">
              <w:rPr>
                <w:rFonts w:ascii="Calibri" w:eastAsia="Calibri" w:hAnsi="Calibri" w:cs="Calibri"/>
                <w:sz w:val="20"/>
                <w:szCs w:val="20"/>
              </w:rPr>
              <w:t>0%</w:t>
            </w:r>
          </w:p>
        </w:tc>
        <w:tc>
          <w:tcPr>
            <w:tcW w:w="992" w:type="dxa"/>
            <w:shd w:val="clear" w:color="auto" w:fill="F2F2F2"/>
            <w:vAlign w:val="center"/>
          </w:tcPr>
          <w:p w14:paraId="4A839937" w14:textId="70664DD6" w:rsidR="0018262B" w:rsidRPr="00D2095B" w:rsidRDefault="00A2012B" w:rsidP="00F77595">
            <w:pPr>
              <w:jc w:val="center"/>
              <w:rPr>
                <w:rFonts w:ascii="Calibri" w:eastAsia="Calibri" w:hAnsi="Calibri" w:cs="Calibri"/>
                <w:sz w:val="20"/>
                <w:szCs w:val="20"/>
              </w:rPr>
            </w:pPr>
            <w:r>
              <w:rPr>
                <w:rFonts w:ascii="Calibri" w:eastAsia="Calibri" w:hAnsi="Calibri" w:cs="Calibri"/>
                <w:sz w:val="20"/>
                <w:szCs w:val="20"/>
              </w:rPr>
              <w:t>6</w:t>
            </w:r>
            <w:r w:rsidR="0018262B">
              <w:rPr>
                <w:rFonts w:ascii="Calibri" w:eastAsia="Calibri" w:hAnsi="Calibri" w:cs="Calibri"/>
                <w:sz w:val="20"/>
                <w:szCs w:val="20"/>
              </w:rPr>
              <w:t>0%</w:t>
            </w:r>
          </w:p>
        </w:tc>
        <w:tc>
          <w:tcPr>
            <w:tcW w:w="993" w:type="dxa"/>
            <w:shd w:val="clear" w:color="auto" w:fill="F2F2F2" w:themeFill="background1" w:themeFillShade="F2"/>
            <w:vAlign w:val="center"/>
          </w:tcPr>
          <w:p w14:paraId="3599A5C7" w14:textId="1FC510DE" w:rsidR="0018262B" w:rsidRPr="002D66B7" w:rsidRDefault="00A2012B" w:rsidP="00F77595">
            <w:pPr>
              <w:jc w:val="center"/>
              <w:rPr>
                <w:rFonts w:ascii="Calibri" w:eastAsia="Calibri" w:hAnsi="Calibri" w:cs="Calibri"/>
                <w:sz w:val="20"/>
                <w:szCs w:val="20"/>
              </w:rPr>
            </w:pPr>
            <w:r>
              <w:rPr>
                <w:rFonts w:ascii="Calibri" w:eastAsia="Calibri" w:hAnsi="Calibri" w:cs="Calibri"/>
                <w:sz w:val="20"/>
                <w:szCs w:val="20"/>
              </w:rPr>
              <w:t>5</w:t>
            </w:r>
            <w:r w:rsidR="0018262B" w:rsidRPr="002D66B7">
              <w:rPr>
                <w:rFonts w:ascii="Calibri" w:eastAsia="Calibri" w:hAnsi="Calibri" w:cs="Calibri"/>
                <w:sz w:val="20"/>
                <w:szCs w:val="20"/>
              </w:rPr>
              <w:t>0%</w:t>
            </w:r>
          </w:p>
        </w:tc>
      </w:tr>
      <w:tr w:rsidR="0018262B" w:rsidRPr="00D2095B" w14:paraId="4835C605" w14:textId="77777777" w:rsidTr="0018262B">
        <w:tc>
          <w:tcPr>
            <w:tcW w:w="1555" w:type="dxa"/>
            <w:vMerge w:val="restart"/>
          </w:tcPr>
          <w:p w14:paraId="6CE76608" w14:textId="77777777" w:rsidR="0018262B" w:rsidRPr="002D66B7" w:rsidRDefault="0018262B" w:rsidP="00F77595">
            <w:pPr>
              <w:rPr>
                <w:rFonts w:ascii="Calibri" w:eastAsia="Calibri" w:hAnsi="Calibri" w:cs="Calibri"/>
                <w:sz w:val="20"/>
                <w:szCs w:val="20"/>
              </w:rPr>
            </w:pPr>
            <w:r w:rsidRPr="00705357">
              <w:rPr>
                <w:rFonts w:ascii="Calibri" w:eastAsia="Calibri" w:hAnsi="Calibri" w:cs="Calibri"/>
                <w:sz w:val="20"/>
                <w:szCs w:val="20"/>
              </w:rPr>
              <w:lastRenderedPageBreak/>
              <w:t>M</w:t>
            </w:r>
            <w:r w:rsidRPr="002D66B7">
              <w:rPr>
                <w:rFonts w:ascii="Calibri" w:eastAsia="Calibri" w:hAnsi="Calibri" w:cs="Calibri"/>
                <w:sz w:val="20"/>
                <w:szCs w:val="20"/>
              </w:rPr>
              <w:t>ałopolskie</w:t>
            </w:r>
            <w:r w:rsidRPr="00705357">
              <w:rPr>
                <w:rFonts w:ascii="Calibri" w:eastAsia="Calibri" w:hAnsi="Calibri" w:cs="Calibri"/>
                <w:sz w:val="20"/>
                <w:szCs w:val="20"/>
              </w:rPr>
              <w:t xml:space="preserve"> </w:t>
            </w:r>
            <w:r w:rsidRPr="00313E0F">
              <w:rPr>
                <w:rFonts w:ascii="Calibri" w:eastAsia="Calibri" w:hAnsi="Calibri" w:cs="Calibri"/>
                <w:color w:val="C00000"/>
                <w:sz w:val="20"/>
                <w:szCs w:val="20"/>
              </w:rPr>
              <w:t>(obszar „a”)</w:t>
            </w:r>
          </w:p>
        </w:tc>
        <w:tc>
          <w:tcPr>
            <w:tcW w:w="1417" w:type="dxa"/>
          </w:tcPr>
          <w:p w14:paraId="044238A5" w14:textId="77777777" w:rsidR="0018262B" w:rsidRPr="002D66B7" w:rsidRDefault="0018262B" w:rsidP="00F77595">
            <w:pPr>
              <w:rPr>
                <w:rFonts w:ascii="Calibri" w:eastAsia="Calibri" w:hAnsi="Calibri" w:cs="Calibri"/>
                <w:sz w:val="20"/>
                <w:szCs w:val="20"/>
              </w:rPr>
            </w:pPr>
            <w:r w:rsidRPr="002D66B7">
              <w:rPr>
                <w:rFonts w:ascii="Calibri" w:eastAsia="Calibri" w:hAnsi="Calibri" w:cs="Calibri"/>
                <w:sz w:val="20"/>
                <w:szCs w:val="20"/>
              </w:rPr>
              <w:t>oświęcimski</w:t>
            </w:r>
          </w:p>
        </w:tc>
        <w:tc>
          <w:tcPr>
            <w:tcW w:w="3260" w:type="dxa"/>
            <w:gridSpan w:val="2"/>
          </w:tcPr>
          <w:p w14:paraId="7B83CF9B" w14:textId="77777777" w:rsidR="0018262B" w:rsidRPr="002D66B7" w:rsidRDefault="0018262B" w:rsidP="00F77595">
            <w:pPr>
              <w:rPr>
                <w:rFonts w:ascii="Calibri" w:eastAsia="Calibri" w:hAnsi="Calibri" w:cs="Calibri"/>
                <w:sz w:val="20"/>
                <w:szCs w:val="20"/>
              </w:rPr>
            </w:pPr>
            <w:r w:rsidRPr="00A34208">
              <w:rPr>
                <w:rFonts w:ascii="Calibri" w:eastAsia="Calibri" w:hAnsi="Calibri" w:cs="Calibri"/>
                <w:b/>
                <w:bCs/>
                <w:sz w:val="20"/>
                <w:szCs w:val="20"/>
              </w:rPr>
              <w:t>p</w:t>
            </w:r>
            <w:r w:rsidRPr="002D66B7">
              <w:rPr>
                <w:rFonts w:ascii="Calibri" w:eastAsia="Calibri" w:hAnsi="Calibri" w:cs="Calibri"/>
                <w:b/>
                <w:bCs/>
                <w:sz w:val="20"/>
                <w:szCs w:val="20"/>
              </w:rPr>
              <w:t>owiaty</w:t>
            </w:r>
            <w:r w:rsidRPr="002D66B7">
              <w:rPr>
                <w:rFonts w:ascii="Calibri" w:eastAsia="Calibri" w:hAnsi="Calibri" w:cs="Calibri"/>
                <w:sz w:val="20"/>
                <w:szCs w:val="20"/>
              </w:rPr>
              <w:t>: chrzanowski, olkuski, oświęcimski, wadowicki</w:t>
            </w:r>
          </w:p>
        </w:tc>
        <w:tc>
          <w:tcPr>
            <w:tcW w:w="1276" w:type="dxa"/>
            <w:vAlign w:val="center"/>
          </w:tcPr>
          <w:p w14:paraId="0AC059F5" w14:textId="2CED3BFD" w:rsidR="0018262B" w:rsidRPr="00D2095B" w:rsidRDefault="00820E08" w:rsidP="00F77595">
            <w:pPr>
              <w:jc w:val="center"/>
              <w:rPr>
                <w:rFonts w:ascii="Calibri" w:eastAsia="Calibri" w:hAnsi="Calibri" w:cs="Calibri"/>
                <w:sz w:val="20"/>
                <w:szCs w:val="20"/>
              </w:rPr>
            </w:pPr>
            <w:r>
              <w:rPr>
                <w:rFonts w:ascii="Calibri" w:eastAsia="Calibri" w:hAnsi="Calibri" w:cs="Calibri"/>
                <w:sz w:val="20"/>
                <w:szCs w:val="20"/>
              </w:rPr>
              <w:t>75</w:t>
            </w:r>
            <w:r w:rsidR="0018262B">
              <w:rPr>
                <w:rFonts w:ascii="Calibri" w:eastAsia="Calibri" w:hAnsi="Calibri" w:cs="Calibri"/>
                <w:sz w:val="20"/>
                <w:szCs w:val="20"/>
              </w:rPr>
              <w:t>%</w:t>
            </w:r>
            <w:r w:rsidR="0018262B" w:rsidRPr="00FC4F35">
              <w:rPr>
                <w:rStyle w:val="Odwoanieprzypisudolnego"/>
                <w:rFonts w:ascii="Calibri" w:eastAsia="Calibri" w:hAnsi="Calibri" w:cs="Calibri"/>
                <w:color w:val="FF0000"/>
                <w:sz w:val="20"/>
                <w:szCs w:val="20"/>
              </w:rPr>
              <w:footnoteReference w:id="20"/>
            </w:r>
          </w:p>
        </w:tc>
        <w:tc>
          <w:tcPr>
            <w:tcW w:w="992" w:type="dxa"/>
            <w:vAlign w:val="center"/>
          </w:tcPr>
          <w:p w14:paraId="1047CE2B" w14:textId="24231621" w:rsidR="0018262B" w:rsidRPr="00D2095B" w:rsidRDefault="00A303EB" w:rsidP="00F77595">
            <w:pPr>
              <w:jc w:val="center"/>
              <w:rPr>
                <w:rFonts w:ascii="Calibri" w:eastAsia="Calibri" w:hAnsi="Calibri" w:cs="Calibri"/>
                <w:sz w:val="20"/>
                <w:szCs w:val="20"/>
              </w:rPr>
            </w:pPr>
            <w:r>
              <w:rPr>
                <w:rFonts w:ascii="Calibri" w:eastAsia="Calibri" w:hAnsi="Calibri" w:cs="Calibri"/>
                <w:sz w:val="20"/>
                <w:szCs w:val="20"/>
              </w:rPr>
              <w:t>7</w:t>
            </w:r>
            <w:r w:rsidR="0018262B">
              <w:rPr>
                <w:rFonts w:ascii="Calibri" w:eastAsia="Calibri" w:hAnsi="Calibri" w:cs="Calibri"/>
                <w:sz w:val="20"/>
                <w:szCs w:val="20"/>
              </w:rPr>
              <w:t>0%</w:t>
            </w:r>
            <w:r w:rsidR="0018262B" w:rsidRPr="00FC4F35">
              <w:rPr>
                <w:rStyle w:val="Odwoanieprzypisudolnego"/>
                <w:rFonts w:ascii="Calibri" w:eastAsia="Calibri" w:hAnsi="Calibri" w:cs="Calibri"/>
                <w:color w:val="FF0000"/>
                <w:sz w:val="20"/>
                <w:szCs w:val="20"/>
              </w:rPr>
              <w:footnoteReference w:id="21"/>
            </w:r>
          </w:p>
        </w:tc>
        <w:tc>
          <w:tcPr>
            <w:tcW w:w="993" w:type="dxa"/>
            <w:vAlign w:val="center"/>
          </w:tcPr>
          <w:p w14:paraId="2DBD0A02" w14:textId="7114B2D2" w:rsidR="0018262B" w:rsidRPr="002D66B7" w:rsidRDefault="00A303EB" w:rsidP="00F77595">
            <w:pPr>
              <w:jc w:val="center"/>
              <w:rPr>
                <w:rFonts w:ascii="Calibri" w:eastAsia="Calibri" w:hAnsi="Calibri" w:cs="Calibri"/>
                <w:sz w:val="20"/>
                <w:szCs w:val="20"/>
              </w:rPr>
            </w:pPr>
            <w:r>
              <w:rPr>
                <w:rFonts w:ascii="Calibri" w:eastAsia="Calibri" w:hAnsi="Calibri" w:cs="Calibri"/>
                <w:sz w:val="20"/>
                <w:szCs w:val="20"/>
              </w:rPr>
              <w:t>6</w:t>
            </w:r>
            <w:r w:rsidR="0018262B" w:rsidRPr="002D66B7">
              <w:rPr>
                <w:rFonts w:ascii="Calibri" w:eastAsia="Calibri" w:hAnsi="Calibri" w:cs="Calibri"/>
                <w:sz w:val="20"/>
                <w:szCs w:val="20"/>
              </w:rPr>
              <w:t>0%</w:t>
            </w:r>
            <w:r w:rsidR="0018262B" w:rsidRPr="00D2095B">
              <w:rPr>
                <w:rStyle w:val="Odwoanieprzypisudolnego"/>
                <w:rFonts w:ascii="Calibri" w:eastAsia="Calibri" w:hAnsi="Calibri" w:cs="Calibri"/>
                <w:color w:val="FF0000"/>
                <w:sz w:val="20"/>
                <w:szCs w:val="20"/>
              </w:rPr>
              <w:footnoteReference w:id="22"/>
            </w:r>
          </w:p>
        </w:tc>
      </w:tr>
      <w:tr w:rsidR="0018262B" w:rsidRPr="00D2095B" w14:paraId="529FC906" w14:textId="77777777" w:rsidTr="0018262B">
        <w:tc>
          <w:tcPr>
            <w:tcW w:w="1555" w:type="dxa"/>
            <w:vMerge/>
            <w:tcBorders>
              <w:bottom w:val="single" w:sz="4" w:space="0" w:color="auto"/>
            </w:tcBorders>
          </w:tcPr>
          <w:p w14:paraId="51FA78BE" w14:textId="77777777" w:rsidR="0018262B" w:rsidRPr="002D66B7" w:rsidRDefault="0018262B" w:rsidP="00F77595">
            <w:pPr>
              <w:rPr>
                <w:rFonts w:ascii="Calibri" w:eastAsia="Calibri" w:hAnsi="Calibri" w:cs="Calibri"/>
                <w:sz w:val="20"/>
                <w:szCs w:val="20"/>
              </w:rPr>
            </w:pPr>
          </w:p>
        </w:tc>
        <w:tc>
          <w:tcPr>
            <w:tcW w:w="4677" w:type="dxa"/>
            <w:gridSpan w:val="3"/>
            <w:tcBorders>
              <w:bottom w:val="single" w:sz="4" w:space="0" w:color="auto"/>
            </w:tcBorders>
          </w:tcPr>
          <w:p w14:paraId="10F70371" w14:textId="7A4B4FDC" w:rsidR="0018262B" w:rsidRPr="002D66B7" w:rsidRDefault="0018262B" w:rsidP="00F77595">
            <w:pPr>
              <w:rPr>
                <w:rFonts w:ascii="Calibri" w:eastAsia="Calibri" w:hAnsi="Calibri" w:cs="Calibri"/>
                <w:sz w:val="20"/>
                <w:szCs w:val="20"/>
              </w:rPr>
            </w:pPr>
            <w:r w:rsidRPr="00925F75">
              <w:rPr>
                <w:rFonts w:ascii="Calibri" w:eastAsia="Calibri" w:hAnsi="Calibri" w:cs="Calibri"/>
                <w:b/>
                <w:bCs/>
                <w:sz w:val="20"/>
                <w:szCs w:val="20"/>
              </w:rPr>
              <w:t>p</w:t>
            </w:r>
            <w:r w:rsidRPr="002D66B7">
              <w:rPr>
                <w:rFonts w:ascii="Calibri" w:eastAsia="Calibri" w:hAnsi="Calibri" w:cs="Calibri"/>
                <w:b/>
                <w:bCs/>
                <w:sz w:val="20"/>
                <w:szCs w:val="20"/>
              </w:rPr>
              <w:t>ozostałe</w:t>
            </w:r>
            <w:r w:rsidRPr="00925F75">
              <w:rPr>
                <w:rFonts w:ascii="Calibri" w:eastAsia="Calibri" w:hAnsi="Calibri" w:cs="Calibri"/>
                <w:b/>
                <w:bCs/>
                <w:sz w:val="20"/>
                <w:szCs w:val="20"/>
              </w:rPr>
              <w:t xml:space="preserve"> obszary</w:t>
            </w:r>
            <w:r>
              <w:rPr>
                <w:rFonts w:ascii="Calibri" w:eastAsia="Calibri" w:hAnsi="Calibri" w:cs="Calibri"/>
                <w:sz w:val="20"/>
                <w:szCs w:val="20"/>
              </w:rPr>
              <w:t xml:space="preserve"> woj. </w:t>
            </w:r>
            <w:r w:rsidR="00D62033">
              <w:rPr>
                <w:rFonts w:ascii="Calibri" w:eastAsia="Calibri" w:hAnsi="Calibri" w:cs="Calibri"/>
                <w:sz w:val="20"/>
                <w:szCs w:val="20"/>
              </w:rPr>
              <w:t>M</w:t>
            </w:r>
            <w:r>
              <w:rPr>
                <w:rFonts w:ascii="Calibri" w:eastAsia="Calibri" w:hAnsi="Calibri" w:cs="Calibri"/>
                <w:sz w:val="20"/>
                <w:szCs w:val="20"/>
              </w:rPr>
              <w:t>ałopolskiego</w:t>
            </w:r>
          </w:p>
        </w:tc>
        <w:tc>
          <w:tcPr>
            <w:tcW w:w="1276" w:type="dxa"/>
            <w:tcBorders>
              <w:bottom w:val="single" w:sz="4" w:space="0" w:color="auto"/>
            </w:tcBorders>
            <w:vAlign w:val="center"/>
          </w:tcPr>
          <w:p w14:paraId="6F4BC789" w14:textId="421D2364" w:rsidR="0018262B" w:rsidRPr="00D2095B" w:rsidRDefault="00A303EB" w:rsidP="00F77595">
            <w:pPr>
              <w:jc w:val="center"/>
              <w:rPr>
                <w:rFonts w:ascii="Calibri" w:eastAsia="Calibri" w:hAnsi="Calibri" w:cs="Calibri"/>
                <w:sz w:val="20"/>
                <w:szCs w:val="20"/>
              </w:rPr>
            </w:pPr>
            <w:r>
              <w:rPr>
                <w:rFonts w:ascii="Calibri" w:eastAsia="Calibri" w:hAnsi="Calibri" w:cs="Calibri"/>
                <w:sz w:val="20"/>
                <w:szCs w:val="20"/>
              </w:rPr>
              <w:t>7</w:t>
            </w:r>
            <w:r w:rsidR="0018262B">
              <w:rPr>
                <w:rFonts w:ascii="Calibri" w:eastAsia="Calibri" w:hAnsi="Calibri" w:cs="Calibri"/>
                <w:sz w:val="20"/>
                <w:szCs w:val="20"/>
              </w:rPr>
              <w:t>0%</w:t>
            </w:r>
          </w:p>
        </w:tc>
        <w:tc>
          <w:tcPr>
            <w:tcW w:w="992" w:type="dxa"/>
            <w:tcBorders>
              <w:bottom w:val="single" w:sz="4" w:space="0" w:color="auto"/>
            </w:tcBorders>
            <w:vAlign w:val="center"/>
          </w:tcPr>
          <w:p w14:paraId="4932C988" w14:textId="72E38BF7" w:rsidR="0018262B" w:rsidRPr="00D2095B" w:rsidRDefault="00A303EB" w:rsidP="00F77595">
            <w:pPr>
              <w:jc w:val="center"/>
              <w:rPr>
                <w:rFonts w:ascii="Calibri" w:eastAsia="Calibri" w:hAnsi="Calibri" w:cs="Calibri"/>
                <w:sz w:val="20"/>
                <w:szCs w:val="20"/>
              </w:rPr>
            </w:pPr>
            <w:r>
              <w:rPr>
                <w:rFonts w:ascii="Calibri" w:eastAsia="Calibri" w:hAnsi="Calibri" w:cs="Calibri"/>
                <w:sz w:val="20"/>
                <w:szCs w:val="20"/>
              </w:rPr>
              <w:t>6</w:t>
            </w:r>
            <w:r w:rsidR="0018262B">
              <w:rPr>
                <w:rFonts w:ascii="Calibri" w:eastAsia="Calibri" w:hAnsi="Calibri" w:cs="Calibri"/>
                <w:sz w:val="20"/>
                <w:szCs w:val="20"/>
              </w:rPr>
              <w:t>0%</w:t>
            </w:r>
          </w:p>
        </w:tc>
        <w:tc>
          <w:tcPr>
            <w:tcW w:w="993" w:type="dxa"/>
            <w:tcBorders>
              <w:bottom w:val="single" w:sz="4" w:space="0" w:color="auto"/>
            </w:tcBorders>
            <w:vAlign w:val="center"/>
          </w:tcPr>
          <w:p w14:paraId="3C6A3C80" w14:textId="1E7D7E5D" w:rsidR="0018262B" w:rsidRPr="002D66B7" w:rsidRDefault="00A303EB" w:rsidP="00F77595">
            <w:pPr>
              <w:jc w:val="center"/>
              <w:rPr>
                <w:rFonts w:ascii="Calibri" w:eastAsia="Calibri" w:hAnsi="Calibri" w:cs="Calibri"/>
                <w:sz w:val="20"/>
                <w:szCs w:val="20"/>
              </w:rPr>
            </w:pPr>
            <w:r>
              <w:rPr>
                <w:rFonts w:ascii="Calibri" w:eastAsia="Calibri" w:hAnsi="Calibri" w:cs="Calibri"/>
                <w:sz w:val="20"/>
                <w:szCs w:val="20"/>
              </w:rPr>
              <w:t>5</w:t>
            </w:r>
            <w:r w:rsidR="0018262B" w:rsidRPr="002D66B7">
              <w:rPr>
                <w:rFonts w:ascii="Calibri" w:eastAsia="Calibri" w:hAnsi="Calibri" w:cs="Calibri"/>
                <w:sz w:val="20"/>
                <w:szCs w:val="20"/>
              </w:rPr>
              <w:t>0%</w:t>
            </w:r>
          </w:p>
        </w:tc>
      </w:tr>
      <w:tr w:rsidR="0018262B" w:rsidRPr="00D2095B" w14:paraId="3C31EB69" w14:textId="77777777" w:rsidTr="0018262B">
        <w:tc>
          <w:tcPr>
            <w:tcW w:w="1555" w:type="dxa"/>
            <w:vMerge w:val="restart"/>
            <w:shd w:val="clear" w:color="auto" w:fill="F2F2F2"/>
          </w:tcPr>
          <w:p w14:paraId="56EFD2CE" w14:textId="77777777" w:rsidR="0018262B" w:rsidRDefault="0018262B" w:rsidP="00F77595">
            <w:pPr>
              <w:rPr>
                <w:rFonts w:ascii="Calibri" w:eastAsia="Calibri" w:hAnsi="Calibri" w:cs="Calibri"/>
                <w:sz w:val="20"/>
                <w:szCs w:val="20"/>
              </w:rPr>
            </w:pPr>
            <w:r w:rsidRPr="00705357">
              <w:rPr>
                <w:rFonts w:ascii="Calibri" w:eastAsia="Calibri" w:hAnsi="Calibri" w:cs="Calibri"/>
                <w:sz w:val="20"/>
                <w:szCs w:val="20"/>
              </w:rPr>
              <w:t>Ś</w:t>
            </w:r>
            <w:r w:rsidRPr="002D66B7">
              <w:rPr>
                <w:rFonts w:ascii="Calibri" w:eastAsia="Calibri" w:hAnsi="Calibri" w:cs="Calibri"/>
                <w:sz w:val="20"/>
                <w:szCs w:val="20"/>
              </w:rPr>
              <w:t>ląskie</w:t>
            </w:r>
            <w:r>
              <w:rPr>
                <w:rFonts w:ascii="Calibri" w:eastAsia="Calibri" w:hAnsi="Calibri" w:cs="Calibri"/>
                <w:sz w:val="20"/>
                <w:szCs w:val="20"/>
              </w:rPr>
              <w:t xml:space="preserve"> </w:t>
            </w:r>
          </w:p>
          <w:p w14:paraId="49770AB1" w14:textId="77777777" w:rsidR="0018262B" w:rsidRPr="002D66B7" w:rsidRDefault="0018262B" w:rsidP="00F77595">
            <w:pPr>
              <w:rPr>
                <w:rFonts w:ascii="Calibri" w:eastAsia="Calibri" w:hAnsi="Calibri" w:cs="Calibri"/>
                <w:sz w:val="20"/>
                <w:szCs w:val="20"/>
              </w:rPr>
            </w:pPr>
            <w:r w:rsidRPr="00313E0F">
              <w:rPr>
                <w:rFonts w:ascii="Calibri" w:eastAsia="Calibri" w:hAnsi="Calibri" w:cs="Calibri"/>
                <w:color w:val="C00000"/>
                <w:sz w:val="20"/>
                <w:szCs w:val="20"/>
              </w:rPr>
              <w:t>(obszar „a”)</w:t>
            </w:r>
          </w:p>
        </w:tc>
        <w:tc>
          <w:tcPr>
            <w:tcW w:w="1417" w:type="dxa"/>
            <w:shd w:val="clear" w:color="auto" w:fill="F2F2F2"/>
          </w:tcPr>
          <w:p w14:paraId="76E20AAE" w14:textId="77777777" w:rsidR="0018262B" w:rsidRPr="002D66B7" w:rsidRDefault="0018262B" w:rsidP="00F77595">
            <w:pPr>
              <w:rPr>
                <w:rFonts w:ascii="Calibri" w:eastAsia="Calibri" w:hAnsi="Calibri" w:cs="Calibri"/>
                <w:sz w:val="20"/>
                <w:szCs w:val="20"/>
              </w:rPr>
            </w:pPr>
            <w:r w:rsidRPr="002D66B7">
              <w:rPr>
                <w:rFonts w:ascii="Calibri" w:eastAsia="Calibri" w:hAnsi="Calibri" w:cs="Calibri"/>
                <w:sz w:val="20"/>
                <w:szCs w:val="20"/>
              </w:rPr>
              <w:t>katowicki</w:t>
            </w:r>
          </w:p>
        </w:tc>
        <w:tc>
          <w:tcPr>
            <w:tcW w:w="3260" w:type="dxa"/>
            <w:gridSpan w:val="2"/>
            <w:shd w:val="clear" w:color="auto" w:fill="F2F2F2"/>
          </w:tcPr>
          <w:p w14:paraId="58C0A201" w14:textId="77777777" w:rsidR="0018262B" w:rsidRPr="002D66B7" w:rsidRDefault="0018262B" w:rsidP="00F77595">
            <w:pPr>
              <w:rPr>
                <w:rFonts w:ascii="Calibri" w:eastAsia="Calibri" w:hAnsi="Calibri" w:cs="Calibri"/>
                <w:sz w:val="20"/>
                <w:szCs w:val="20"/>
              </w:rPr>
            </w:pPr>
            <w:r w:rsidRPr="00A34208">
              <w:rPr>
                <w:rFonts w:ascii="Calibri" w:eastAsia="Calibri" w:hAnsi="Calibri" w:cs="Calibri"/>
                <w:b/>
                <w:bCs/>
                <w:sz w:val="20"/>
                <w:szCs w:val="20"/>
              </w:rPr>
              <w:t>p</w:t>
            </w:r>
            <w:r w:rsidRPr="002D66B7">
              <w:rPr>
                <w:rFonts w:ascii="Calibri" w:eastAsia="Calibri" w:hAnsi="Calibri" w:cs="Calibri"/>
                <w:b/>
                <w:bCs/>
                <w:sz w:val="20"/>
                <w:szCs w:val="20"/>
              </w:rPr>
              <w:t>owiaty</w:t>
            </w:r>
            <w:r w:rsidRPr="002D66B7">
              <w:rPr>
                <w:rFonts w:ascii="Calibri" w:eastAsia="Calibri" w:hAnsi="Calibri" w:cs="Calibri"/>
                <w:sz w:val="20"/>
                <w:szCs w:val="20"/>
              </w:rPr>
              <w:t>: m. Chorzów, m. Katowice, m. Mysłowice, m. Ruda Śląska, m. Siemianowice Śląskie, m. Świętochłowice</w:t>
            </w:r>
          </w:p>
        </w:tc>
        <w:tc>
          <w:tcPr>
            <w:tcW w:w="1276" w:type="dxa"/>
            <w:vMerge w:val="restart"/>
            <w:shd w:val="clear" w:color="auto" w:fill="F2F2F2"/>
            <w:vAlign w:val="center"/>
          </w:tcPr>
          <w:p w14:paraId="7113F6AC" w14:textId="4F658489" w:rsidR="0018262B" w:rsidRPr="00D2095B" w:rsidRDefault="00A303EB" w:rsidP="00F77595">
            <w:pPr>
              <w:jc w:val="center"/>
              <w:rPr>
                <w:rFonts w:ascii="Calibri" w:eastAsia="Calibri" w:hAnsi="Calibri" w:cs="Calibri"/>
                <w:sz w:val="20"/>
                <w:szCs w:val="20"/>
              </w:rPr>
            </w:pPr>
            <w:r>
              <w:rPr>
                <w:rFonts w:ascii="Calibri" w:eastAsia="Calibri" w:hAnsi="Calibri" w:cs="Calibri"/>
                <w:sz w:val="20"/>
                <w:szCs w:val="20"/>
              </w:rPr>
              <w:t>7</w:t>
            </w:r>
            <w:r w:rsidR="0018262B">
              <w:rPr>
                <w:rFonts w:ascii="Calibri" w:eastAsia="Calibri" w:hAnsi="Calibri" w:cs="Calibri"/>
                <w:sz w:val="20"/>
                <w:szCs w:val="20"/>
              </w:rPr>
              <w:t>0%</w:t>
            </w:r>
            <w:r w:rsidR="0018262B" w:rsidRPr="00FC4F35">
              <w:rPr>
                <w:rStyle w:val="Odwoanieprzypisudolnego"/>
                <w:rFonts w:ascii="Calibri" w:eastAsia="Calibri" w:hAnsi="Calibri" w:cs="Calibri"/>
                <w:color w:val="FF0000"/>
                <w:sz w:val="20"/>
                <w:szCs w:val="20"/>
              </w:rPr>
              <w:footnoteReference w:id="23"/>
            </w:r>
          </w:p>
        </w:tc>
        <w:tc>
          <w:tcPr>
            <w:tcW w:w="992" w:type="dxa"/>
            <w:vMerge w:val="restart"/>
            <w:shd w:val="clear" w:color="auto" w:fill="F2F2F2"/>
            <w:vAlign w:val="center"/>
          </w:tcPr>
          <w:p w14:paraId="25EB1D6C" w14:textId="049A51F1" w:rsidR="0018262B" w:rsidRPr="00D2095B" w:rsidRDefault="00A303EB" w:rsidP="00F77595">
            <w:pPr>
              <w:jc w:val="center"/>
              <w:rPr>
                <w:rFonts w:ascii="Calibri" w:eastAsia="Calibri" w:hAnsi="Calibri" w:cs="Calibri"/>
                <w:sz w:val="20"/>
                <w:szCs w:val="20"/>
              </w:rPr>
            </w:pPr>
            <w:r>
              <w:rPr>
                <w:rFonts w:ascii="Calibri" w:eastAsia="Calibri" w:hAnsi="Calibri" w:cs="Calibri"/>
                <w:sz w:val="20"/>
                <w:szCs w:val="20"/>
              </w:rPr>
              <w:t>6</w:t>
            </w:r>
            <w:r w:rsidR="0018262B">
              <w:rPr>
                <w:rFonts w:ascii="Calibri" w:eastAsia="Calibri" w:hAnsi="Calibri" w:cs="Calibri"/>
                <w:sz w:val="20"/>
                <w:szCs w:val="20"/>
              </w:rPr>
              <w:t>0%</w:t>
            </w:r>
            <w:r w:rsidR="0018262B" w:rsidRPr="00FC4F35">
              <w:rPr>
                <w:rStyle w:val="Odwoanieprzypisudolnego"/>
                <w:rFonts w:ascii="Calibri" w:eastAsia="Calibri" w:hAnsi="Calibri" w:cs="Calibri"/>
                <w:color w:val="FF0000"/>
                <w:sz w:val="20"/>
                <w:szCs w:val="20"/>
              </w:rPr>
              <w:footnoteReference w:id="24"/>
            </w:r>
          </w:p>
        </w:tc>
        <w:tc>
          <w:tcPr>
            <w:tcW w:w="993" w:type="dxa"/>
            <w:vMerge w:val="restart"/>
            <w:shd w:val="clear" w:color="auto" w:fill="F2F2F2"/>
            <w:vAlign w:val="center"/>
          </w:tcPr>
          <w:p w14:paraId="47D4724E" w14:textId="2F4639AF" w:rsidR="0018262B" w:rsidRPr="002D66B7" w:rsidRDefault="00A303EB" w:rsidP="00F77595">
            <w:pPr>
              <w:jc w:val="center"/>
              <w:rPr>
                <w:rFonts w:ascii="Calibri" w:eastAsia="Calibri" w:hAnsi="Calibri" w:cs="Calibri"/>
                <w:sz w:val="20"/>
                <w:szCs w:val="20"/>
              </w:rPr>
            </w:pPr>
            <w:r>
              <w:rPr>
                <w:rFonts w:ascii="Calibri" w:eastAsia="Calibri" w:hAnsi="Calibri" w:cs="Calibri"/>
                <w:sz w:val="20"/>
                <w:szCs w:val="20"/>
              </w:rPr>
              <w:t>5</w:t>
            </w:r>
            <w:r w:rsidR="0018262B" w:rsidRPr="002D66B7">
              <w:rPr>
                <w:rFonts w:ascii="Calibri" w:eastAsia="Calibri" w:hAnsi="Calibri" w:cs="Calibri"/>
                <w:sz w:val="20"/>
                <w:szCs w:val="20"/>
              </w:rPr>
              <w:t>0%</w:t>
            </w:r>
            <w:r w:rsidR="0018262B" w:rsidRPr="00D2095B">
              <w:rPr>
                <w:rStyle w:val="Odwoanieprzypisudolnego"/>
                <w:rFonts w:ascii="Calibri" w:eastAsia="Calibri" w:hAnsi="Calibri" w:cs="Calibri"/>
                <w:color w:val="FF0000"/>
                <w:sz w:val="20"/>
                <w:szCs w:val="20"/>
              </w:rPr>
              <w:footnoteReference w:id="25"/>
            </w:r>
          </w:p>
        </w:tc>
      </w:tr>
      <w:tr w:rsidR="0018262B" w:rsidRPr="00D2095B" w14:paraId="31B91018" w14:textId="77777777" w:rsidTr="0018262B">
        <w:tc>
          <w:tcPr>
            <w:tcW w:w="1555" w:type="dxa"/>
            <w:vMerge/>
            <w:shd w:val="clear" w:color="auto" w:fill="F2F2F2"/>
          </w:tcPr>
          <w:p w14:paraId="6220E326" w14:textId="77777777" w:rsidR="0018262B" w:rsidRPr="002D66B7" w:rsidRDefault="0018262B" w:rsidP="00F77595">
            <w:pPr>
              <w:rPr>
                <w:rFonts w:ascii="Calibri" w:eastAsia="Calibri" w:hAnsi="Calibri" w:cs="Calibri"/>
                <w:sz w:val="20"/>
                <w:szCs w:val="20"/>
              </w:rPr>
            </w:pPr>
          </w:p>
        </w:tc>
        <w:tc>
          <w:tcPr>
            <w:tcW w:w="1417" w:type="dxa"/>
            <w:shd w:val="clear" w:color="auto" w:fill="F2F2F2"/>
          </w:tcPr>
          <w:p w14:paraId="22B71800" w14:textId="77777777" w:rsidR="0018262B" w:rsidRPr="002D66B7" w:rsidRDefault="0018262B" w:rsidP="00F77595">
            <w:pPr>
              <w:rPr>
                <w:rFonts w:ascii="Calibri" w:eastAsia="Calibri" w:hAnsi="Calibri" w:cs="Calibri"/>
                <w:sz w:val="20"/>
                <w:szCs w:val="20"/>
              </w:rPr>
            </w:pPr>
            <w:r w:rsidRPr="002D66B7">
              <w:rPr>
                <w:rFonts w:ascii="Calibri" w:eastAsia="Calibri" w:hAnsi="Calibri" w:cs="Calibri"/>
                <w:sz w:val="20"/>
                <w:szCs w:val="20"/>
              </w:rPr>
              <w:t>sosnowiecki</w:t>
            </w:r>
          </w:p>
        </w:tc>
        <w:tc>
          <w:tcPr>
            <w:tcW w:w="3260" w:type="dxa"/>
            <w:gridSpan w:val="2"/>
            <w:shd w:val="clear" w:color="auto" w:fill="F2F2F2"/>
          </w:tcPr>
          <w:p w14:paraId="652080C1" w14:textId="77777777" w:rsidR="0018262B" w:rsidRPr="002D66B7" w:rsidRDefault="0018262B" w:rsidP="00F77595">
            <w:pPr>
              <w:rPr>
                <w:rFonts w:ascii="Calibri" w:eastAsia="Calibri" w:hAnsi="Calibri" w:cs="Calibri"/>
                <w:sz w:val="20"/>
                <w:szCs w:val="20"/>
              </w:rPr>
            </w:pPr>
            <w:r w:rsidRPr="00A34208">
              <w:rPr>
                <w:rFonts w:ascii="Calibri" w:eastAsia="Calibri" w:hAnsi="Calibri" w:cs="Calibri"/>
                <w:b/>
                <w:bCs/>
                <w:sz w:val="20"/>
                <w:szCs w:val="20"/>
              </w:rPr>
              <w:t>p</w:t>
            </w:r>
            <w:r w:rsidRPr="002D66B7">
              <w:rPr>
                <w:rFonts w:ascii="Calibri" w:eastAsia="Calibri" w:hAnsi="Calibri" w:cs="Calibri"/>
                <w:b/>
                <w:bCs/>
                <w:sz w:val="20"/>
                <w:szCs w:val="20"/>
              </w:rPr>
              <w:t>owiaty</w:t>
            </w:r>
            <w:r w:rsidRPr="002D66B7">
              <w:rPr>
                <w:rFonts w:ascii="Calibri" w:eastAsia="Calibri" w:hAnsi="Calibri" w:cs="Calibri"/>
                <w:sz w:val="20"/>
                <w:szCs w:val="20"/>
              </w:rPr>
              <w:t>: będziński, zawierciański, m. Dąbrowa Górnicza, M. Jaworzno, M. Sosnowiec</w:t>
            </w:r>
          </w:p>
        </w:tc>
        <w:tc>
          <w:tcPr>
            <w:tcW w:w="1276" w:type="dxa"/>
            <w:vMerge/>
            <w:shd w:val="clear" w:color="auto" w:fill="F2F2F2"/>
          </w:tcPr>
          <w:p w14:paraId="2AF85444" w14:textId="77777777" w:rsidR="0018262B" w:rsidRPr="00D2095B" w:rsidRDefault="0018262B" w:rsidP="00F77595">
            <w:pPr>
              <w:rPr>
                <w:rFonts w:ascii="Calibri" w:eastAsia="Calibri" w:hAnsi="Calibri" w:cs="Calibri"/>
                <w:sz w:val="20"/>
                <w:szCs w:val="20"/>
              </w:rPr>
            </w:pPr>
          </w:p>
        </w:tc>
        <w:tc>
          <w:tcPr>
            <w:tcW w:w="992" w:type="dxa"/>
            <w:vMerge/>
            <w:shd w:val="clear" w:color="auto" w:fill="F2F2F2"/>
          </w:tcPr>
          <w:p w14:paraId="13C57A9D" w14:textId="77777777" w:rsidR="0018262B" w:rsidRPr="00D2095B" w:rsidRDefault="0018262B" w:rsidP="00F77595">
            <w:pPr>
              <w:rPr>
                <w:rFonts w:ascii="Calibri" w:eastAsia="Calibri" w:hAnsi="Calibri" w:cs="Calibri"/>
                <w:sz w:val="20"/>
                <w:szCs w:val="20"/>
              </w:rPr>
            </w:pPr>
          </w:p>
        </w:tc>
        <w:tc>
          <w:tcPr>
            <w:tcW w:w="993" w:type="dxa"/>
            <w:vMerge/>
            <w:shd w:val="clear" w:color="auto" w:fill="F2F2F2"/>
          </w:tcPr>
          <w:p w14:paraId="19FD9E92" w14:textId="77777777" w:rsidR="0018262B" w:rsidRPr="002D66B7" w:rsidRDefault="0018262B" w:rsidP="00F77595">
            <w:pPr>
              <w:rPr>
                <w:rFonts w:ascii="Calibri" w:eastAsia="Calibri" w:hAnsi="Calibri" w:cs="Calibri"/>
                <w:sz w:val="20"/>
                <w:szCs w:val="20"/>
              </w:rPr>
            </w:pPr>
          </w:p>
        </w:tc>
      </w:tr>
      <w:tr w:rsidR="0018262B" w:rsidRPr="00D2095B" w14:paraId="5B0E0029" w14:textId="77777777" w:rsidTr="0018262B">
        <w:tc>
          <w:tcPr>
            <w:tcW w:w="1555" w:type="dxa"/>
            <w:vMerge/>
            <w:shd w:val="clear" w:color="auto" w:fill="F2F2F2"/>
          </w:tcPr>
          <w:p w14:paraId="23AB4662" w14:textId="77777777" w:rsidR="0018262B" w:rsidRPr="002D66B7" w:rsidRDefault="0018262B" w:rsidP="00F77595">
            <w:pPr>
              <w:rPr>
                <w:rFonts w:ascii="Calibri" w:eastAsia="Calibri" w:hAnsi="Calibri" w:cs="Calibri"/>
                <w:sz w:val="20"/>
                <w:szCs w:val="20"/>
              </w:rPr>
            </w:pPr>
          </w:p>
        </w:tc>
        <w:tc>
          <w:tcPr>
            <w:tcW w:w="1417" w:type="dxa"/>
            <w:shd w:val="clear" w:color="auto" w:fill="F2F2F2"/>
          </w:tcPr>
          <w:p w14:paraId="7CB7D306" w14:textId="77777777" w:rsidR="0018262B" w:rsidRPr="002D66B7" w:rsidRDefault="0018262B" w:rsidP="00F77595">
            <w:pPr>
              <w:rPr>
                <w:rFonts w:ascii="Calibri" w:eastAsia="Calibri" w:hAnsi="Calibri" w:cs="Calibri"/>
                <w:sz w:val="20"/>
                <w:szCs w:val="20"/>
              </w:rPr>
            </w:pPr>
            <w:r w:rsidRPr="002D66B7">
              <w:rPr>
                <w:rFonts w:ascii="Calibri" w:eastAsia="Calibri" w:hAnsi="Calibri" w:cs="Calibri"/>
                <w:sz w:val="20"/>
                <w:szCs w:val="20"/>
              </w:rPr>
              <w:t>tyski</w:t>
            </w:r>
          </w:p>
        </w:tc>
        <w:tc>
          <w:tcPr>
            <w:tcW w:w="3260" w:type="dxa"/>
            <w:gridSpan w:val="2"/>
            <w:shd w:val="clear" w:color="auto" w:fill="F2F2F2"/>
          </w:tcPr>
          <w:p w14:paraId="33277A93" w14:textId="77777777" w:rsidR="0018262B" w:rsidRPr="002D66B7" w:rsidRDefault="0018262B" w:rsidP="00F77595">
            <w:pPr>
              <w:rPr>
                <w:rFonts w:ascii="Calibri" w:eastAsia="Calibri" w:hAnsi="Calibri" w:cs="Calibri"/>
                <w:b/>
                <w:bCs/>
                <w:sz w:val="20"/>
                <w:szCs w:val="20"/>
              </w:rPr>
            </w:pPr>
            <w:r w:rsidRPr="002D66B7">
              <w:rPr>
                <w:rFonts w:ascii="Calibri" w:eastAsia="Calibri" w:hAnsi="Calibri" w:cs="Calibri"/>
                <w:b/>
                <w:bCs/>
                <w:sz w:val="20"/>
                <w:szCs w:val="20"/>
              </w:rPr>
              <w:t xml:space="preserve">powiaty: </w:t>
            </w:r>
            <w:r w:rsidRPr="002D66B7">
              <w:rPr>
                <w:rFonts w:ascii="Calibri" w:eastAsia="Calibri" w:hAnsi="Calibri" w:cs="Calibri"/>
                <w:sz w:val="20"/>
                <w:szCs w:val="20"/>
              </w:rPr>
              <w:t>mikołowski, pszczyński, bieruńsko – lędziński, m. Tychy</w:t>
            </w:r>
          </w:p>
        </w:tc>
        <w:tc>
          <w:tcPr>
            <w:tcW w:w="1276" w:type="dxa"/>
            <w:vMerge/>
            <w:shd w:val="clear" w:color="auto" w:fill="F2F2F2"/>
          </w:tcPr>
          <w:p w14:paraId="0C963ABD" w14:textId="77777777" w:rsidR="0018262B" w:rsidRPr="00D2095B" w:rsidRDefault="0018262B" w:rsidP="00F77595">
            <w:pPr>
              <w:rPr>
                <w:rFonts w:ascii="Calibri" w:eastAsia="Calibri" w:hAnsi="Calibri" w:cs="Calibri"/>
                <w:sz w:val="20"/>
                <w:szCs w:val="20"/>
              </w:rPr>
            </w:pPr>
          </w:p>
        </w:tc>
        <w:tc>
          <w:tcPr>
            <w:tcW w:w="992" w:type="dxa"/>
            <w:vMerge/>
            <w:shd w:val="clear" w:color="auto" w:fill="F2F2F2"/>
          </w:tcPr>
          <w:p w14:paraId="7A581642" w14:textId="77777777" w:rsidR="0018262B" w:rsidRPr="00D2095B" w:rsidRDefault="0018262B" w:rsidP="00F77595">
            <w:pPr>
              <w:rPr>
                <w:rFonts w:ascii="Calibri" w:eastAsia="Calibri" w:hAnsi="Calibri" w:cs="Calibri"/>
                <w:sz w:val="20"/>
                <w:szCs w:val="20"/>
              </w:rPr>
            </w:pPr>
          </w:p>
        </w:tc>
        <w:tc>
          <w:tcPr>
            <w:tcW w:w="993" w:type="dxa"/>
            <w:vMerge/>
            <w:shd w:val="clear" w:color="auto" w:fill="F2F2F2"/>
          </w:tcPr>
          <w:p w14:paraId="205AEB9F" w14:textId="77777777" w:rsidR="0018262B" w:rsidRPr="002D66B7" w:rsidRDefault="0018262B" w:rsidP="00F77595">
            <w:pPr>
              <w:rPr>
                <w:rFonts w:ascii="Calibri" w:eastAsia="Calibri" w:hAnsi="Calibri" w:cs="Calibri"/>
                <w:sz w:val="20"/>
                <w:szCs w:val="20"/>
              </w:rPr>
            </w:pPr>
          </w:p>
        </w:tc>
      </w:tr>
      <w:tr w:rsidR="0018262B" w:rsidRPr="00D2095B" w14:paraId="72D09ACD" w14:textId="77777777" w:rsidTr="0018262B">
        <w:tc>
          <w:tcPr>
            <w:tcW w:w="1555" w:type="dxa"/>
            <w:vMerge/>
            <w:shd w:val="clear" w:color="auto" w:fill="F2F2F2"/>
          </w:tcPr>
          <w:p w14:paraId="43291716" w14:textId="77777777" w:rsidR="0018262B" w:rsidRPr="002D66B7" w:rsidRDefault="0018262B" w:rsidP="00F77595">
            <w:pPr>
              <w:rPr>
                <w:rFonts w:ascii="Calibri" w:eastAsia="Calibri" w:hAnsi="Calibri" w:cs="Calibri"/>
                <w:sz w:val="20"/>
                <w:szCs w:val="20"/>
              </w:rPr>
            </w:pPr>
          </w:p>
        </w:tc>
        <w:tc>
          <w:tcPr>
            <w:tcW w:w="1417" w:type="dxa"/>
            <w:shd w:val="clear" w:color="auto" w:fill="F2F2F2"/>
          </w:tcPr>
          <w:p w14:paraId="1A6779F1" w14:textId="77777777" w:rsidR="0018262B" w:rsidRPr="002D66B7" w:rsidRDefault="0018262B" w:rsidP="00F77595">
            <w:pPr>
              <w:rPr>
                <w:rFonts w:ascii="Calibri" w:eastAsia="Calibri" w:hAnsi="Calibri" w:cs="Calibri"/>
                <w:sz w:val="20"/>
                <w:szCs w:val="20"/>
              </w:rPr>
            </w:pPr>
            <w:r w:rsidRPr="002D66B7">
              <w:rPr>
                <w:rFonts w:ascii="Calibri" w:eastAsia="Calibri" w:hAnsi="Calibri" w:cs="Calibri"/>
                <w:sz w:val="20"/>
                <w:szCs w:val="20"/>
              </w:rPr>
              <w:t>bielski</w:t>
            </w:r>
          </w:p>
        </w:tc>
        <w:tc>
          <w:tcPr>
            <w:tcW w:w="3260" w:type="dxa"/>
            <w:gridSpan w:val="2"/>
            <w:shd w:val="clear" w:color="auto" w:fill="F2F2F2"/>
          </w:tcPr>
          <w:p w14:paraId="0EBDC8F4" w14:textId="341FABB7" w:rsidR="0018262B" w:rsidRPr="002D66B7" w:rsidRDefault="0018262B" w:rsidP="00F77595">
            <w:pPr>
              <w:rPr>
                <w:rFonts w:ascii="Calibri" w:eastAsia="Calibri" w:hAnsi="Calibri" w:cs="Calibri"/>
                <w:sz w:val="20"/>
                <w:szCs w:val="20"/>
              </w:rPr>
            </w:pPr>
            <w:r w:rsidRPr="002D66B7">
              <w:rPr>
                <w:rFonts w:ascii="Calibri" w:eastAsia="Calibri" w:hAnsi="Calibri" w:cs="Calibri"/>
                <w:b/>
                <w:bCs/>
                <w:sz w:val="20"/>
                <w:szCs w:val="20"/>
              </w:rPr>
              <w:t xml:space="preserve">powiaty: </w:t>
            </w:r>
            <w:r w:rsidRPr="002D66B7">
              <w:rPr>
                <w:rFonts w:ascii="Calibri" w:eastAsia="Calibri" w:hAnsi="Calibri" w:cs="Calibri"/>
                <w:sz w:val="20"/>
                <w:szCs w:val="20"/>
              </w:rPr>
              <w:t xml:space="preserve">bielski, cieszyński, żywiecki, m. Bielsko </w:t>
            </w:r>
            <w:r w:rsidR="00D62033">
              <w:rPr>
                <w:rFonts w:ascii="Calibri" w:eastAsia="Calibri" w:hAnsi="Calibri" w:cs="Calibri"/>
                <w:sz w:val="20"/>
                <w:szCs w:val="20"/>
              </w:rPr>
              <w:t>–</w:t>
            </w:r>
            <w:r w:rsidRPr="002D66B7">
              <w:rPr>
                <w:rFonts w:ascii="Calibri" w:eastAsia="Calibri" w:hAnsi="Calibri" w:cs="Calibri"/>
                <w:sz w:val="20"/>
                <w:szCs w:val="20"/>
              </w:rPr>
              <w:t xml:space="preserve"> Biała</w:t>
            </w:r>
          </w:p>
        </w:tc>
        <w:tc>
          <w:tcPr>
            <w:tcW w:w="1276" w:type="dxa"/>
            <w:vMerge/>
            <w:shd w:val="clear" w:color="auto" w:fill="F2F2F2"/>
          </w:tcPr>
          <w:p w14:paraId="21D2E72C" w14:textId="77777777" w:rsidR="0018262B" w:rsidRPr="00D2095B" w:rsidRDefault="0018262B" w:rsidP="00F77595">
            <w:pPr>
              <w:rPr>
                <w:rFonts w:ascii="Calibri" w:eastAsia="Calibri" w:hAnsi="Calibri" w:cs="Calibri"/>
                <w:sz w:val="20"/>
                <w:szCs w:val="20"/>
              </w:rPr>
            </w:pPr>
          </w:p>
        </w:tc>
        <w:tc>
          <w:tcPr>
            <w:tcW w:w="992" w:type="dxa"/>
            <w:vMerge/>
            <w:shd w:val="clear" w:color="auto" w:fill="F2F2F2"/>
          </w:tcPr>
          <w:p w14:paraId="32FB551B" w14:textId="77777777" w:rsidR="0018262B" w:rsidRPr="00D2095B" w:rsidRDefault="0018262B" w:rsidP="00F77595">
            <w:pPr>
              <w:rPr>
                <w:rFonts w:ascii="Calibri" w:eastAsia="Calibri" w:hAnsi="Calibri" w:cs="Calibri"/>
                <w:sz w:val="20"/>
                <w:szCs w:val="20"/>
              </w:rPr>
            </w:pPr>
          </w:p>
        </w:tc>
        <w:tc>
          <w:tcPr>
            <w:tcW w:w="993" w:type="dxa"/>
            <w:vMerge/>
            <w:shd w:val="clear" w:color="auto" w:fill="F2F2F2"/>
          </w:tcPr>
          <w:p w14:paraId="6EFCC9A4" w14:textId="77777777" w:rsidR="0018262B" w:rsidRPr="002D66B7" w:rsidRDefault="0018262B" w:rsidP="00F77595">
            <w:pPr>
              <w:rPr>
                <w:rFonts w:ascii="Calibri" w:eastAsia="Calibri" w:hAnsi="Calibri" w:cs="Calibri"/>
                <w:sz w:val="20"/>
                <w:szCs w:val="20"/>
              </w:rPr>
            </w:pPr>
          </w:p>
        </w:tc>
      </w:tr>
      <w:tr w:rsidR="0018262B" w:rsidRPr="00D2095B" w14:paraId="77DA6A62" w14:textId="77777777" w:rsidTr="0018262B">
        <w:tc>
          <w:tcPr>
            <w:tcW w:w="1555" w:type="dxa"/>
            <w:vMerge/>
            <w:shd w:val="clear" w:color="auto" w:fill="F2F2F2"/>
          </w:tcPr>
          <w:p w14:paraId="47CF9EFC" w14:textId="77777777" w:rsidR="0018262B" w:rsidRPr="002D66B7" w:rsidRDefault="0018262B" w:rsidP="00F77595">
            <w:pPr>
              <w:rPr>
                <w:rFonts w:ascii="Calibri" w:eastAsia="Calibri" w:hAnsi="Calibri" w:cs="Calibri"/>
                <w:sz w:val="20"/>
                <w:szCs w:val="20"/>
              </w:rPr>
            </w:pPr>
          </w:p>
        </w:tc>
        <w:tc>
          <w:tcPr>
            <w:tcW w:w="1417" w:type="dxa"/>
            <w:shd w:val="clear" w:color="auto" w:fill="F2F2F2"/>
          </w:tcPr>
          <w:p w14:paraId="031314C6" w14:textId="77777777" w:rsidR="0018262B" w:rsidRPr="002D66B7" w:rsidRDefault="0018262B" w:rsidP="00F77595">
            <w:pPr>
              <w:rPr>
                <w:rFonts w:ascii="Calibri" w:eastAsia="Calibri" w:hAnsi="Calibri" w:cs="Calibri"/>
                <w:sz w:val="20"/>
                <w:szCs w:val="20"/>
              </w:rPr>
            </w:pPr>
            <w:r w:rsidRPr="002D66B7">
              <w:rPr>
                <w:rFonts w:ascii="Calibri" w:eastAsia="Calibri" w:hAnsi="Calibri" w:cs="Calibri"/>
                <w:sz w:val="20"/>
                <w:szCs w:val="20"/>
              </w:rPr>
              <w:t>rybnicki</w:t>
            </w:r>
          </w:p>
        </w:tc>
        <w:tc>
          <w:tcPr>
            <w:tcW w:w="3260" w:type="dxa"/>
            <w:gridSpan w:val="2"/>
            <w:shd w:val="clear" w:color="auto" w:fill="F2F2F2"/>
          </w:tcPr>
          <w:p w14:paraId="0E10A0A3" w14:textId="77777777" w:rsidR="0018262B" w:rsidRPr="002D66B7" w:rsidRDefault="0018262B" w:rsidP="00F77595">
            <w:pPr>
              <w:rPr>
                <w:rFonts w:ascii="Calibri" w:eastAsia="Calibri" w:hAnsi="Calibri" w:cs="Calibri"/>
                <w:sz w:val="20"/>
                <w:szCs w:val="20"/>
              </w:rPr>
            </w:pPr>
            <w:r w:rsidRPr="002D66B7">
              <w:rPr>
                <w:rFonts w:ascii="Calibri" w:eastAsia="Calibri" w:hAnsi="Calibri" w:cs="Calibri"/>
                <w:b/>
                <w:bCs/>
                <w:sz w:val="20"/>
                <w:szCs w:val="20"/>
              </w:rPr>
              <w:t xml:space="preserve">powiaty: </w:t>
            </w:r>
            <w:r w:rsidRPr="002D66B7">
              <w:rPr>
                <w:rFonts w:ascii="Calibri" w:eastAsia="Calibri" w:hAnsi="Calibri" w:cs="Calibri"/>
                <w:sz w:val="20"/>
                <w:szCs w:val="20"/>
              </w:rPr>
              <w:t>raciborski, rybnicki, wodzisławski, m. Jastrzębie – Zdrój, m. Rybnik, m. Żory</w:t>
            </w:r>
          </w:p>
        </w:tc>
        <w:tc>
          <w:tcPr>
            <w:tcW w:w="1276" w:type="dxa"/>
            <w:vMerge/>
            <w:shd w:val="clear" w:color="auto" w:fill="F2F2F2"/>
          </w:tcPr>
          <w:p w14:paraId="2EEF433E" w14:textId="77777777" w:rsidR="0018262B" w:rsidRPr="00D2095B" w:rsidRDefault="0018262B" w:rsidP="00F77595">
            <w:pPr>
              <w:rPr>
                <w:rFonts w:ascii="Calibri" w:eastAsia="Calibri" w:hAnsi="Calibri" w:cs="Calibri"/>
                <w:sz w:val="20"/>
                <w:szCs w:val="20"/>
              </w:rPr>
            </w:pPr>
          </w:p>
        </w:tc>
        <w:tc>
          <w:tcPr>
            <w:tcW w:w="992" w:type="dxa"/>
            <w:vMerge/>
            <w:shd w:val="clear" w:color="auto" w:fill="F2F2F2"/>
          </w:tcPr>
          <w:p w14:paraId="2BF36A94" w14:textId="77777777" w:rsidR="0018262B" w:rsidRPr="00D2095B" w:rsidRDefault="0018262B" w:rsidP="00F77595">
            <w:pPr>
              <w:rPr>
                <w:rFonts w:ascii="Calibri" w:eastAsia="Calibri" w:hAnsi="Calibri" w:cs="Calibri"/>
                <w:sz w:val="20"/>
                <w:szCs w:val="20"/>
              </w:rPr>
            </w:pPr>
          </w:p>
        </w:tc>
        <w:tc>
          <w:tcPr>
            <w:tcW w:w="993" w:type="dxa"/>
            <w:vMerge/>
            <w:shd w:val="clear" w:color="auto" w:fill="F2F2F2"/>
          </w:tcPr>
          <w:p w14:paraId="344C8D6D" w14:textId="77777777" w:rsidR="0018262B" w:rsidRPr="002D66B7" w:rsidRDefault="0018262B" w:rsidP="00F77595">
            <w:pPr>
              <w:rPr>
                <w:rFonts w:ascii="Calibri" w:eastAsia="Calibri" w:hAnsi="Calibri" w:cs="Calibri"/>
                <w:sz w:val="20"/>
                <w:szCs w:val="20"/>
              </w:rPr>
            </w:pPr>
          </w:p>
        </w:tc>
      </w:tr>
      <w:tr w:rsidR="0018262B" w:rsidRPr="00D2095B" w14:paraId="518BE90A" w14:textId="77777777" w:rsidTr="0018262B">
        <w:tc>
          <w:tcPr>
            <w:tcW w:w="1555" w:type="dxa"/>
            <w:vMerge/>
            <w:shd w:val="clear" w:color="auto" w:fill="F2F2F2"/>
          </w:tcPr>
          <w:p w14:paraId="11301F00" w14:textId="77777777" w:rsidR="0018262B" w:rsidRPr="002D66B7" w:rsidRDefault="0018262B" w:rsidP="00F77595">
            <w:pPr>
              <w:rPr>
                <w:rFonts w:ascii="Calibri" w:eastAsia="Calibri" w:hAnsi="Calibri" w:cs="Calibri"/>
                <w:sz w:val="20"/>
                <w:szCs w:val="20"/>
              </w:rPr>
            </w:pPr>
          </w:p>
        </w:tc>
        <w:tc>
          <w:tcPr>
            <w:tcW w:w="1417" w:type="dxa"/>
            <w:shd w:val="clear" w:color="auto" w:fill="F2F2F2"/>
          </w:tcPr>
          <w:p w14:paraId="7E21FDF7" w14:textId="77777777" w:rsidR="0018262B" w:rsidRPr="002D66B7" w:rsidRDefault="0018262B" w:rsidP="00F77595">
            <w:pPr>
              <w:rPr>
                <w:rFonts w:ascii="Calibri" w:eastAsia="Calibri" w:hAnsi="Calibri" w:cs="Calibri"/>
                <w:sz w:val="20"/>
                <w:szCs w:val="20"/>
              </w:rPr>
            </w:pPr>
            <w:r w:rsidRPr="002D66B7">
              <w:rPr>
                <w:rFonts w:ascii="Calibri" w:eastAsia="Calibri" w:hAnsi="Calibri" w:cs="Calibri"/>
                <w:sz w:val="20"/>
                <w:szCs w:val="20"/>
              </w:rPr>
              <w:t>bytomski</w:t>
            </w:r>
          </w:p>
        </w:tc>
        <w:tc>
          <w:tcPr>
            <w:tcW w:w="3260" w:type="dxa"/>
            <w:gridSpan w:val="2"/>
            <w:shd w:val="clear" w:color="auto" w:fill="F2F2F2"/>
          </w:tcPr>
          <w:p w14:paraId="7918EB0E" w14:textId="77777777" w:rsidR="0018262B" w:rsidRPr="002D66B7" w:rsidRDefault="0018262B" w:rsidP="00F77595">
            <w:pPr>
              <w:rPr>
                <w:rFonts w:ascii="Calibri" w:eastAsia="Calibri" w:hAnsi="Calibri" w:cs="Calibri"/>
                <w:sz w:val="20"/>
                <w:szCs w:val="20"/>
              </w:rPr>
            </w:pPr>
            <w:r w:rsidRPr="002D66B7">
              <w:rPr>
                <w:rFonts w:ascii="Calibri" w:eastAsia="Calibri" w:hAnsi="Calibri" w:cs="Calibri"/>
                <w:b/>
                <w:bCs/>
                <w:sz w:val="20"/>
                <w:szCs w:val="20"/>
              </w:rPr>
              <w:t xml:space="preserve">powiaty: </w:t>
            </w:r>
            <w:r w:rsidRPr="002D66B7">
              <w:rPr>
                <w:rFonts w:ascii="Calibri" w:eastAsia="Calibri" w:hAnsi="Calibri" w:cs="Calibri"/>
                <w:sz w:val="20"/>
                <w:szCs w:val="20"/>
              </w:rPr>
              <w:t>lubliniecki, tarnogórski, m. Bytom, m. Piekary Śląskie</w:t>
            </w:r>
          </w:p>
        </w:tc>
        <w:tc>
          <w:tcPr>
            <w:tcW w:w="1276" w:type="dxa"/>
            <w:vMerge/>
            <w:shd w:val="clear" w:color="auto" w:fill="F2F2F2"/>
          </w:tcPr>
          <w:p w14:paraId="4BFE81E1" w14:textId="77777777" w:rsidR="0018262B" w:rsidRPr="00D2095B" w:rsidRDefault="0018262B" w:rsidP="00F77595">
            <w:pPr>
              <w:rPr>
                <w:rFonts w:ascii="Calibri" w:eastAsia="Calibri" w:hAnsi="Calibri" w:cs="Calibri"/>
                <w:sz w:val="20"/>
                <w:szCs w:val="20"/>
              </w:rPr>
            </w:pPr>
          </w:p>
        </w:tc>
        <w:tc>
          <w:tcPr>
            <w:tcW w:w="992" w:type="dxa"/>
            <w:vMerge/>
            <w:shd w:val="clear" w:color="auto" w:fill="F2F2F2"/>
          </w:tcPr>
          <w:p w14:paraId="7DC97013" w14:textId="77777777" w:rsidR="0018262B" w:rsidRPr="00D2095B" w:rsidRDefault="0018262B" w:rsidP="00F77595">
            <w:pPr>
              <w:rPr>
                <w:rFonts w:ascii="Calibri" w:eastAsia="Calibri" w:hAnsi="Calibri" w:cs="Calibri"/>
                <w:sz w:val="20"/>
                <w:szCs w:val="20"/>
              </w:rPr>
            </w:pPr>
          </w:p>
        </w:tc>
        <w:tc>
          <w:tcPr>
            <w:tcW w:w="993" w:type="dxa"/>
            <w:vMerge/>
            <w:shd w:val="clear" w:color="auto" w:fill="F2F2F2"/>
          </w:tcPr>
          <w:p w14:paraId="33DD72DA" w14:textId="77777777" w:rsidR="0018262B" w:rsidRPr="002D66B7" w:rsidRDefault="0018262B" w:rsidP="00F77595">
            <w:pPr>
              <w:rPr>
                <w:rFonts w:ascii="Calibri" w:eastAsia="Calibri" w:hAnsi="Calibri" w:cs="Calibri"/>
                <w:sz w:val="20"/>
                <w:szCs w:val="20"/>
              </w:rPr>
            </w:pPr>
          </w:p>
        </w:tc>
      </w:tr>
      <w:tr w:rsidR="0018262B" w:rsidRPr="00D2095B" w14:paraId="40695DAA" w14:textId="77777777" w:rsidTr="0018262B">
        <w:tc>
          <w:tcPr>
            <w:tcW w:w="1555" w:type="dxa"/>
            <w:vMerge/>
            <w:shd w:val="clear" w:color="auto" w:fill="F2F2F2"/>
          </w:tcPr>
          <w:p w14:paraId="7F780849" w14:textId="77777777" w:rsidR="0018262B" w:rsidRPr="002D66B7" w:rsidRDefault="0018262B" w:rsidP="00F77595">
            <w:pPr>
              <w:rPr>
                <w:rFonts w:ascii="Calibri" w:eastAsia="Calibri" w:hAnsi="Calibri" w:cs="Calibri"/>
                <w:sz w:val="20"/>
                <w:szCs w:val="20"/>
              </w:rPr>
            </w:pPr>
          </w:p>
        </w:tc>
        <w:tc>
          <w:tcPr>
            <w:tcW w:w="1417" w:type="dxa"/>
            <w:shd w:val="clear" w:color="auto" w:fill="F2F2F2"/>
          </w:tcPr>
          <w:p w14:paraId="3AE2C8B0" w14:textId="77777777" w:rsidR="0018262B" w:rsidRPr="002D66B7" w:rsidRDefault="0018262B" w:rsidP="00F77595">
            <w:pPr>
              <w:rPr>
                <w:rFonts w:ascii="Calibri" w:eastAsia="Calibri" w:hAnsi="Calibri" w:cs="Calibri"/>
                <w:sz w:val="20"/>
                <w:szCs w:val="20"/>
              </w:rPr>
            </w:pPr>
            <w:r w:rsidRPr="002D66B7">
              <w:rPr>
                <w:rFonts w:ascii="Calibri" w:eastAsia="Calibri" w:hAnsi="Calibri" w:cs="Calibri"/>
                <w:sz w:val="20"/>
                <w:szCs w:val="20"/>
              </w:rPr>
              <w:t>gliwicki</w:t>
            </w:r>
          </w:p>
        </w:tc>
        <w:tc>
          <w:tcPr>
            <w:tcW w:w="3260" w:type="dxa"/>
            <w:gridSpan w:val="2"/>
            <w:shd w:val="clear" w:color="auto" w:fill="F2F2F2"/>
          </w:tcPr>
          <w:p w14:paraId="2939DEA2" w14:textId="77777777" w:rsidR="0018262B" w:rsidRPr="002D66B7" w:rsidRDefault="0018262B" w:rsidP="00F77595">
            <w:pPr>
              <w:rPr>
                <w:rFonts w:ascii="Calibri" w:eastAsia="Calibri" w:hAnsi="Calibri" w:cs="Calibri"/>
                <w:sz w:val="20"/>
                <w:szCs w:val="20"/>
              </w:rPr>
            </w:pPr>
            <w:r w:rsidRPr="002D66B7">
              <w:rPr>
                <w:rFonts w:ascii="Calibri" w:eastAsia="Calibri" w:hAnsi="Calibri" w:cs="Calibri"/>
                <w:b/>
                <w:bCs/>
                <w:sz w:val="20"/>
                <w:szCs w:val="20"/>
              </w:rPr>
              <w:t xml:space="preserve">powiaty: </w:t>
            </w:r>
            <w:r w:rsidRPr="002D66B7">
              <w:rPr>
                <w:rFonts w:ascii="Calibri" w:eastAsia="Calibri" w:hAnsi="Calibri" w:cs="Calibri"/>
                <w:sz w:val="20"/>
                <w:szCs w:val="20"/>
              </w:rPr>
              <w:t>gliwicki, m. Gliwice, m. Zabrze</w:t>
            </w:r>
          </w:p>
        </w:tc>
        <w:tc>
          <w:tcPr>
            <w:tcW w:w="1276" w:type="dxa"/>
            <w:vMerge/>
            <w:shd w:val="clear" w:color="auto" w:fill="F2F2F2"/>
          </w:tcPr>
          <w:p w14:paraId="2C1EA666" w14:textId="77777777" w:rsidR="0018262B" w:rsidRPr="00D2095B" w:rsidRDefault="0018262B" w:rsidP="00F77595">
            <w:pPr>
              <w:rPr>
                <w:rFonts w:ascii="Calibri" w:eastAsia="Calibri" w:hAnsi="Calibri" w:cs="Calibri"/>
                <w:sz w:val="20"/>
                <w:szCs w:val="20"/>
              </w:rPr>
            </w:pPr>
          </w:p>
        </w:tc>
        <w:tc>
          <w:tcPr>
            <w:tcW w:w="992" w:type="dxa"/>
            <w:vMerge/>
            <w:shd w:val="clear" w:color="auto" w:fill="F2F2F2"/>
          </w:tcPr>
          <w:p w14:paraId="2EE25DB7" w14:textId="77777777" w:rsidR="0018262B" w:rsidRPr="00D2095B" w:rsidRDefault="0018262B" w:rsidP="00F77595">
            <w:pPr>
              <w:rPr>
                <w:rFonts w:ascii="Calibri" w:eastAsia="Calibri" w:hAnsi="Calibri" w:cs="Calibri"/>
                <w:sz w:val="20"/>
                <w:szCs w:val="20"/>
              </w:rPr>
            </w:pPr>
          </w:p>
        </w:tc>
        <w:tc>
          <w:tcPr>
            <w:tcW w:w="993" w:type="dxa"/>
            <w:vMerge/>
            <w:shd w:val="clear" w:color="auto" w:fill="F2F2F2"/>
          </w:tcPr>
          <w:p w14:paraId="3D31F3F9" w14:textId="77777777" w:rsidR="0018262B" w:rsidRPr="002D66B7" w:rsidRDefault="0018262B" w:rsidP="00F77595">
            <w:pPr>
              <w:rPr>
                <w:rFonts w:ascii="Calibri" w:eastAsia="Calibri" w:hAnsi="Calibri" w:cs="Calibri"/>
                <w:sz w:val="20"/>
                <w:szCs w:val="20"/>
              </w:rPr>
            </w:pPr>
          </w:p>
        </w:tc>
      </w:tr>
      <w:tr w:rsidR="0018262B" w:rsidRPr="00D2095B" w14:paraId="176C3034" w14:textId="77777777" w:rsidTr="0018262B">
        <w:tc>
          <w:tcPr>
            <w:tcW w:w="1555" w:type="dxa"/>
            <w:vMerge/>
            <w:shd w:val="clear" w:color="auto" w:fill="F2F2F2"/>
          </w:tcPr>
          <w:p w14:paraId="253B242B" w14:textId="77777777" w:rsidR="0018262B" w:rsidRPr="002D66B7" w:rsidRDefault="0018262B" w:rsidP="00F77595">
            <w:pPr>
              <w:rPr>
                <w:rFonts w:ascii="Calibri" w:eastAsia="Calibri" w:hAnsi="Calibri" w:cs="Calibri"/>
                <w:sz w:val="20"/>
                <w:szCs w:val="20"/>
              </w:rPr>
            </w:pPr>
          </w:p>
        </w:tc>
        <w:tc>
          <w:tcPr>
            <w:tcW w:w="4677" w:type="dxa"/>
            <w:gridSpan w:val="3"/>
            <w:shd w:val="clear" w:color="auto" w:fill="F2F2F2"/>
          </w:tcPr>
          <w:p w14:paraId="68E73E31" w14:textId="4E4FA215" w:rsidR="0018262B" w:rsidRPr="002D66B7" w:rsidRDefault="0018262B" w:rsidP="00F77595">
            <w:pPr>
              <w:rPr>
                <w:rFonts w:ascii="Calibri" w:eastAsia="Calibri" w:hAnsi="Calibri" w:cs="Calibri"/>
                <w:sz w:val="20"/>
                <w:szCs w:val="20"/>
              </w:rPr>
            </w:pPr>
            <w:r w:rsidRPr="00925F75">
              <w:rPr>
                <w:rFonts w:ascii="Calibri" w:eastAsia="Calibri" w:hAnsi="Calibri" w:cs="Calibri"/>
                <w:b/>
                <w:bCs/>
                <w:sz w:val="20"/>
                <w:szCs w:val="20"/>
              </w:rPr>
              <w:t>p</w:t>
            </w:r>
            <w:r w:rsidRPr="002D66B7">
              <w:rPr>
                <w:rFonts w:ascii="Calibri" w:eastAsia="Calibri" w:hAnsi="Calibri" w:cs="Calibri"/>
                <w:b/>
                <w:bCs/>
                <w:sz w:val="20"/>
                <w:szCs w:val="20"/>
              </w:rPr>
              <w:t>ozostałe</w:t>
            </w:r>
            <w:r w:rsidRPr="00925F75">
              <w:rPr>
                <w:rFonts w:ascii="Calibri" w:eastAsia="Calibri" w:hAnsi="Calibri" w:cs="Calibri"/>
                <w:b/>
                <w:bCs/>
                <w:sz w:val="20"/>
                <w:szCs w:val="20"/>
              </w:rPr>
              <w:t xml:space="preserve"> obszary</w:t>
            </w:r>
            <w:r>
              <w:rPr>
                <w:rFonts w:ascii="Calibri" w:eastAsia="Calibri" w:hAnsi="Calibri" w:cs="Calibri"/>
                <w:sz w:val="20"/>
                <w:szCs w:val="20"/>
              </w:rPr>
              <w:t xml:space="preserve"> woj. </w:t>
            </w:r>
            <w:r w:rsidR="00D62033">
              <w:rPr>
                <w:rFonts w:ascii="Calibri" w:eastAsia="Calibri" w:hAnsi="Calibri" w:cs="Calibri"/>
                <w:sz w:val="20"/>
                <w:szCs w:val="20"/>
              </w:rPr>
              <w:t>Ś</w:t>
            </w:r>
            <w:r>
              <w:rPr>
                <w:rFonts w:ascii="Calibri" w:eastAsia="Calibri" w:hAnsi="Calibri" w:cs="Calibri"/>
                <w:sz w:val="20"/>
                <w:szCs w:val="20"/>
              </w:rPr>
              <w:t>ląskiego</w:t>
            </w:r>
          </w:p>
        </w:tc>
        <w:tc>
          <w:tcPr>
            <w:tcW w:w="1276" w:type="dxa"/>
            <w:shd w:val="clear" w:color="auto" w:fill="F2F2F2"/>
          </w:tcPr>
          <w:p w14:paraId="0A49BCF7" w14:textId="3E0B6DB6" w:rsidR="0018262B" w:rsidRPr="00D2095B" w:rsidRDefault="00A303EB" w:rsidP="00F77595">
            <w:pPr>
              <w:jc w:val="center"/>
              <w:rPr>
                <w:rFonts w:ascii="Calibri" w:eastAsia="Calibri" w:hAnsi="Calibri" w:cs="Calibri"/>
                <w:sz w:val="20"/>
                <w:szCs w:val="20"/>
              </w:rPr>
            </w:pPr>
            <w:r>
              <w:rPr>
                <w:rFonts w:ascii="Calibri" w:eastAsia="Calibri" w:hAnsi="Calibri" w:cs="Calibri"/>
                <w:sz w:val="20"/>
                <w:szCs w:val="20"/>
              </w:rPr>
              <w:t>6</w:t>
            </w:r>
            <w:r w:rsidR="0018262B">
              <w:rPr>
                <w:rFonts w:ascii="Calibri" w:eastAsia="Calibri" w:hAnsi="Calibri" w:cs="Calibri"/>
                <w:sz w:val="20"/>
                <w:szCs w:val="20"/>
              </w:rPr>
              <w:t>0%</w:t>
            </w:r>
          </w:p>
        </w:tc>
        <w:tc>
          <w:tcPr>
            <w:tcW w:w="992" w:type="dxa"/>
            <w:shd w:val="clear" w:color="auto" w:fill="F2F2F2"/>
          </w:tcPr>
          <w:p w14:paraId="49E2F711" w14:textId="577CBDFA" w:rsidR="0018262B" w:rsidRPr="00D2095B" w:rsidRDefault="00A303EB" w:rsidP="00F77595">
            <w:pPr>
              <w:jc w:val="center"/>
              <w:rPr>
                <w:rFonts w:ascii="Calibri" w:eastAsia="Calibri" w:hAnsi="Calibri" w:cs="Calibri"/>
                <w:sz w:val="20"/>
                <w:szCs w:val="20"/>
              </w:rPr>
            </w:pPr>
            <w:r>
              <w:rPr>
                <w:rFonts w:ascii="Calibri" w:eastAsia="Calibri" w:hAnsi="Calibri" w:cs="Calibri"/>
                <w:sz w:val="20"/>
                <w:szCs w:val="20"/>
              </w:rPr>
              <w:t>5</w:t>
            </w:r>
            <w:r w:rsidR="0018262B">
              <w:rPr>
                <w:rFonts w:ascii="Calibri" w:eastAsia="Calibri" w:hAnsi="Calibri" w:cs="Calibri"/>
                <w:sz w:val="20"/>
                <w:szCs w:val="20"/>
              </w:rPr>
              <w:t>0%</w:t>
            </w:r>
          </w:p>
        </w:tc>
        <w:tc>
          <w:tcPr>
            <w:tcW w:w="993" w:type="dxa"/>
            <w:shd w:val="clear" w:color="auto" w:fill="F2F2F2" w:themeFill="background1" w:themeFillShade="F2"/>
          </w:tcPr>
          <w:p w14:paraId="232D2EE1" w14:textId="6790F802" w:rsidR="0018262B" w:rsidRPr="002D66B7" w:rsidRDefault="00A303EB" w:rsidP="00F77595">
            <w:pPr>
              <w:jc w:val="center"/>
              <w:rPr>
                <w:rFonts w:ascii="Calibri" w:eastAsia="Calibri" w:hAnsi="Calibri" w:cs="Calibri"/>
                <w:sz w:val="20"/>
                <w:szCs w:val="20"/>
              </w:rPr>
            </w:pPr>
            <w:r>
              <w:rPr>
                <w:rFonts w:ascii="Calibri" w:eastAsia="Calibri" w:hAnsi="Calibri" w:cs="Calibri"/>
                <w:sz w:val="20"/>
                <w:szCs w:val="20"/>
              </w:rPr>
              <w:t>4</w:t>
            </w:r>
            <w:r w:rsidR="0018262B" w:rsidRPr="002D66B7">
              <w:rPr>
                <w:rFonts w:ascii="Calibri" w:eastAsia="Calibri" w:hAnsi="Calibri" w:cs="Calibri"/>
                <w:sz w:val="20"/>
                <w:szCs w:val="20"/>
              </w:rPr>
              <w:t>0%</w:t>
            </w:r>
          </w:p>
        </w:tc>
      </w:tr>
      <w:tr w:rsidR="006B374F" w:rsidRPr="00D2095B" w14:paraId="35D6CCD4" w14:textId="77777777" w:rsidTr="00837230">
        <w:trPr>
          <w:trHeight w:val="977"/>
        </w:trPr>
        <w:tc>
          <w:tcPr>
            <w:tcW w:w="1555" w:type="dxa"/>
            <w:vMerge w:val="restart"/>
          </w:tcPr>
          <w:p w14:paraId="2C81F2CA" w14:textId="77777777" w:rsidR="006B374F" w:rsidRPr="002D66B7" w:rsidRDefault="006B374F" w:rsidP="00F77595">
            <w:pPr>
              <w:rPr>
                <w:rFonts w:ascii="Calibri" w:eastAsia="Calibri" w:hAnsi="Calibri" w:cs="Calibri"/>
                <w:sz w:val="20"/>
                <w:szCs w:val="20"/>
              </w:rPr>
            </w:pPr>
          </w:p>
          <w:p w14:paraId="104BF631" w14:textId="77777777" w:rsidR="006B374F" w:rsidRPr="002D66B7" w:rsidRDefault="006B374F" w:rsidP="00F77595">
            <w:pPr>
              <w:rPr>
                <w:rFonts w:ascii="Calibri" w:eastAsia="Calibri" w:hAnsi="Calibri" w:cs="Calibri"/>
                <w:sz w:val="20"/>
                <w:szCs w:val="20"/>
              </w:rPr>
            </w:pPr>
          </w:p>
          <w:p w14:paraId="4D30823A" w14:textId="77777777" w:rsidR="006B374F" w:rsidRPr="002D66B7" w:rsidRDefault="006B374F" w:rsidP="00F77595">
            <w:pPr>
              <w:rPr>
                <w:rFonts w:ascii="Calibri" w:eastAsia="Calibri" w:hAnsi="Calibri" w:cs="Calibri"/>
                <w:sz w:val="20"/>
                <w:szCs w:val="20"/>
              </w:rPr>
            </w:pPr>
          </w:p>
          <w:p w14:paraId="5900CF66" w14:textId="77777777" w:rsidR="006B374F" w:rsidRPr="002D66B7" w:rsidRDefault="006B374F" w:rsidP="00F77595">
            <w:pPr>
              <w:rPr>
                <w:rFonts w:ascii="Calibri" w:eastAsia="Calibri" w:hAnsi="Calibri" w:cs="Calibri"/>
                <w:sz w:val="20"/>
                <w:szCs w:val="20"/>
              </w:rPr>
            </w:pPr>
            <w:r w:rsidRPr="00925F75">
              <w:rPr>
                <w:rFonts w:ascii="Calibri" w:eastAsia="Calibri" w:hAnsi="Calibri" w:cs="Calibri"/>
                <w:sz w:val="20"/>
                <w:szCs w:val="20"/>
              </w:rPr>
              <w:t>W</w:t>
            </w:r>
            <w:r w:rsidRPr="002D66B7">
              <w:rPr>
                <w:rFonts w:ascii="Calibri" w:eastAsia="Calibri" w:hAnsi="Calibri" w:cs="Calibri"/>
                <w:sz w:val="20"/>
                <w:szCs w:val="20"/>
              </w:rPr>
              <w:t>ielkopolskie</w:t>
            </w:r>
            <w:r w:rsidRPr="00925F75">
              <w:rPr>
                <w:rFonts w:ascii="Calibri" w:eastAsia="Calibri" w:hAnsi="Calibri" w:cs="Calibri"/>
                <w:sz w:val="20"/>
                <w:szCs w:val="20"/>
              </w:rPr>
              <w:t xml:space="preserve"> </w:t>
            </w:r>
            <w:r w:rsidRPr="00313E0F">
              <w:rPr>
                <w:rFonts w:ascii="Calibri" w:eastAsia="Calibri" w:hAnsi="Calibri" w:cs="Calibri"/>
                <w:color w:val="C00000"/>
                <w:sz w:val="20"/>
                <w:szCs w:val="20"/>
              </w:rPr>
              <w:t>(obszar „c”)</w:t>
            </w:r>
            <w:r>
              <w:rPr>
                <w:rStyle w:val="Odwoanieprzypisudolnego"/>
                <w:rFonts w:ascii="Calibri" w:eastAsia="Calibri" w:hAnsi="Calibri" w:cs="Calibri"/>
                <w:color w:val="C00000"/>
                <w:sz w:val="20"/>
                <w:szCs w:val="20"/>
              </w:rPr>
              <w:footnoteReference w:id="26"/>
            </w:r>
          </w:p>
        </w:tc>
        <w:tc>
          <w:tcPr>
            <w:tcW w:w="1417" w:type="dxa"/>
          </w:tcPr>
          <w:p w14:paraId="0F215E37" w14:textId="77777777" w:rsidR="006B374F" w:rsidRPr="002D66B7" w:rsidRDefault="006B374F" w:rsidP="00F77595">
            <w:pPr>
              <w:rPr>
                <w:rFonts w:ascii="Calibri" w:eastAsia="Calibri" w:hAnsi="Calibri" w:cs="Calibri"/>
                <w:sz w:val="20"/>
                <w:szCs w:val="20"/>
              </w:rPr>
            </w:pPr>
            <w:r w:rsidRPr="002D66B7">
              <w:rPr>
                <w:rFonts w:ascii="Calibri" w:eastAsia="Calibri" w:hAnsi="Calibri" w:cs="Calibri"/>
                <w:sz w:val="20"/>
                <w:szCs w:val="20"/>
              </w:rPr>
              <w:t>Poznań</w:t>
            </w:r>
          </w:p>
        </w:tc>
        <w:tc>
          <w:tcPr>
            <w:tcW w:w="2126" w:type="dxa"/>
          </w:tcPr>
          <w:p w14:paraId="0E281583" w14:textId="77777777" w:rsidR="006B374F" w:rsidRPr="002D66B7" w:rsidRDefault="006B374F" w:rsidP="00F77595">
            <w:pPr>
              <w:rPr>
                <w:rFonts w:ascii="Calibri" w:eastAsia="Calibri" w:hAnsi="Calibri" w:cs="Calibri"/>
                <w:sz w:val="20"/>
                <w:szCs w:val="20"/>
              </w:rPr>
            </w:pPr>
            <w:r w:rsidRPr="002D66B7">
              <w:rPr>
                <w:rFonts w:ascii="Calibri" w:eastAsia="Calibri" w:hAnsi="Calibri" w:cs="Calibri"/>
                <w:b/>
                <w:bCs/>
                <w:sz w:val="20"/>
                <w:szCs w:val="20"/>
              </w:rPr>
              <w:t>powiat:</w:t>
            </w:r>
            <w:r w:rsidRPr="002D66B7">
              <w:rPr>
                <w:rFonts w:ascii="Calibri" w:eastAsia="Calibri" w:hAnsi="Calibri" w:cs="Calibri"/>
                <w:sz w:val="20"/>
                <w:szCs w:val="20"/>
              </w:rPr>
              <w:t xml:space="preserve"> m. Poznań</w:t>
            </w:r>
          </w:p>
        </w:tc>
        <w:tc>
          <w:tcPr>
            <w:tcW w:w="1134" w:type="dxa"/>
          </w:tcPr>
          <w:p w14:paraId="3C0CC884" w14:textId="79C376EE" w:rsidR="006B374F" w:rsidRPr="002D66B7" w:rsidRDefault="006B374F" w:rsidP="00F77595">
            <w:pPr>
              <w:rPr>
                <w:rFonts w:ascii="Calibri" w:eastAsia="Calibri" w:hAnsi="Calibri" w:cs="Calibri"/>
                <w:sz w:val="16"/>
                <w:szCs w:val="16"/>
              </w:rPr>
            </w:pPr>
          </w:p>
          <w:p w14:paraId="32CDF88A" w14:textId="51755149" w:rsidR="006B374F" w:rsidRPr="002D66B7" w:rsidRDefault="006B374F" w:rsidP="00F77595">
            <w:pPr>
              <w:rPr>
                <w:rFonts w:ascii="Calibri" w:eastAsia="Calibri" w:hAnsi="Calibri" w:cs="Calibri"/>
                <w:sz w:val="16"/>
                <w:szCs w:val="16"/>
              </w:rPr>
            </w:pPr>
            <w:r w:rsidRPr="002D66B7">
              <w:rPr>
                <w:rFonts w:ascii="Calibri" w:eastAsia="Calibri" w:hAnsi="Calibri" w:cs="Calibri"/>
                <w:sz w:val="16"/>
                <w:szCs w:val="16"/>
              </w:rPr>
              <w:t>od 01.01.2025 r. do 31.12.2027 r.</w:t>
            </w:r>
          </w:p>
        </w:tc>
        <w:tc>
          <w:tcPr>
            <w:tcW w:w="1276" w:type="dxa"/>
            <w:vAlign w:val="center"/>
          </w:tcPr>
          <w:p w14:paraId="0DB2CB86" w14:textId="556C3D0A" w:rsidR="006B374F" w:rsidRPr="0051328C" w:rsidRDefault="006B374F" w:rsidP="00F77595">
            <w:pPr>
              <w:jc w:val="center"/>
              <w:rPr>
                <w:rFonts w:ascii="Calibri" w:eastAsia="Calibri" w:hAnsi="Calibri" w:cs="Calibri"/>
                <w:sz w:val="20"/>
                <w:szCs w:val="20"/>
              </w:rPr>
            </w:pPr>
          </w:p>
          <w:p w14:paraId="22C49795" w14:textId="3F875CE9" w:rsidR="006B374F" w:rsidRPr="0051328C" w:rsidRDefault="00A303EB" w:rsidP="00F77595">
            <w:pPr>
              <w:jc w:val="center"/>
              <w:rPr>
                <w:rFonts w:ascii="Calibri" w:eastAsia="Calibri" w:hAnsi="Calibri" w:cs="Calibri"/>
                <w:sz w:val="20"/>
                <w:szCs w:val="20"/>
              </w:rPr>
            </w:pPr>
            <w:r>
              <w:rPr>
                <w:rFonts w:ascii="Calibri" w:eastAsia="Calibri" w:hAnsi="Calibri" w:cs="Calibri"/>
                <w:sz w:val="20"/>
                <w:szCs w:val="20"/>
              </w:rPr>
              <w:t>40</w:t>
            </w:r>
            <w:r w:rsidR="006B374F" w:rsidRPr="0051328C">
              <w:rPr>
                <w:rFonts w:ascii="Calibri" w:eastAsia="Calibri" w:hAnsi="Calibri" w:cs="Calibri"/>
                <w:sz w:val="20"/>
                <w:szCs w:val="20"/>
              </w:rPr>
              <w:t>%</w:t>
            </w:r>
          </w:p>
        </w:tc>
        <w:tc>
          <w:tcPr>
            <w:tcW w:w="992" w:type="dxa"/>
            <w:vAlign w:val="center"/>
          </w:tcPr>
          <w:p w14:paraId="2DF46F51" w14:textId="6D83DF0D" w:rsidR="006B374F" w:rsidRPr="0051328C" w:rsidRDefault="006B374F" w:rsidP="00F77595">
            <w:pPr>
              <w:jc w:val="center"/>
              <w:rPr>
                <w:rFonts w:ascii="Calibri" w:eastAsia="Calibri" w:hAnsi="Calibri" w:cs="Calibri"/>
                <w:sz w:val="20"/>
                <w:szCs w:val="20"/>
              </w:rPr>
            </w:pPr>
          </w:p>
          <w:p w14:paraId="6AF7F39C" w14:textId="47043DF8" w:rsidR="006B374F" w:rsidRPr="0051328C" w:rsidRDefault="00A303EB" w:rsidP="00F77595">
            <w:pPr>
              <w:jc w:val="center"/>
              <w:rPr>
                <w:rFonts w:ascii="Calibri" w:eastAsia="Calibri" w:hAnsi="Calibri" w:cs="Calibri"/>
                <w:sz w:val="20"/>
                <w:szCs w:val="20"/>
              </w:rPr>
            </w:pPr>
            <w:r>
              <w:rPr>
                <w:rFonts w:ascii="Calibri" w:eastAsia="Calibri" w:hAnsi="Calibri" w:cs="Calibri"/>
                <w:sz w:val="20"/>
                <w:szCs w:val="20"/>
              </w:rPr>
              <w:t>30</w:t>
            </w:r>
            <w:r w:rsidR="006B374F" w:rsidRPr="0051328C">
              <w:rPr>
                <w:rFonts w:ascii="Calibri" w:eastAsia="Calibri" w:hAnsi="Calibri" w:cs="Calibri"/>
                <w:sz w:val="20"/>
                <w:szCs w:val="20"/>
              </w:rPr>
              <w:t>%</w:t>
            </w:r>
          </w:p>
        </w:tc>
        <w:tc>
          <w:tcPr>
            <w:tcW w:w="993" w:type="dxa"/>
            <w:vAlign w:val="center"/>
          </w:tcPr>
          <w:p w14:paraId="05D6E0B2" w14:textId="1445067E" w:rsidR="006B374F" w:rsidRPr="002D66B7" w:rsidRDefault="006B374F" w:rsidP="00F77595">
            <w:pPr>
              <w:jc w:val="center"/>
              <w:rPr>
                <w:rFonts w:ascii="Calibri" w:eastAsia="Calibri" w:hAnsi="Calibri" w:cs="Calibri"/>
                <w:sz w:val="20"/>
                <w:szCs w:val="20"/>
              </w:rPr>
            </w:pPr>
          </w:p>
          <w:p w14:paraId="4549A8A0" w14:textId="08CA3F72" w:rsidR="006B374F" w:rsidRPr="002D66B7" w:rsidRDefault="00A303EB" w:rsidP="00F77595">
            <w:pPr>
              <w:jc w:val="center"/>
              <w:rPr>
                <w:rFonts w:ascii="Calibri" w:eastAsia="Calibri" w:hAnsi="Calibri" w:cs="Calibri"/>
                <w:sz w:val="20"/>
                <w:szCs w:val="20"/>
              </w:rPr>
            </w:pPr>
            <w:r>
              <w:rPr>
                <w:rFonts w:ascii="Calibri" w:eastAsia="Calibri" w:hAnsi="Calibri" w:cs="Calibri"/>
                <w:sz w:val="20"/>
                <w:szCs w:val="20"/>
              </w:rPr>
              <w:t>20</w:t>
            </w:r>
            <w:r w:rsidR="006B374F" w:rsidRPr="002D66B7">
              <w:rPr>
                <w:rFonts w:ascii="Calibri" w:eastAsia="Calibri" w:hAnsi="Calibri" w:cs="Calibri"/>
                <w:sz w:val="20"/>
                <w:szCs w:val="20"/>
              </w:rPr>
              <w:t>%</w:t>
            </w:r>
          </w:p>
        </w:tc>
      </w:tr>
      <w:tr w:rsidR="006B374F" w:rsidRPr="00D2095B" w14:paraId="751669B9" w14:textId="77777777" w:rsidTr="003507E6">
        <w:trPr>
          <w:trHeight w:val="977"/>
        </w:trPr>
        <w:tc>
          <w:tcPr>
            <w:tcW w:w="1555" w:type="dxa"/>
            <w:vMerge/>
          </w:tcPr>
          <w:p w14:paraId="2B15CBFE" w14:textId="77777777" w:rsidR="006B374F" w:rsidRPr="002D66B7" w:rsidRDefault="006B374F" w:rsidP="00F77595">
            <w:pPr>
              <w:rPr>
                <w:rFonts w:ascii="Calibri" w:eastAsia="Calibri" w:hAnsi="Calibri" w:cs="Calibri"/>
                <w:sz w:val="20"/>
                <w:szCs w:val="20"/>
              </w:rPr>
            </w:pPr>
          </w:p>
        </w:tc>
        <w:tc>
          <w:tcPr>
            <w:tcW w:w="1417" w:type="dxa"/>
          </w:tcPr>
          <w:p w14:paraId="7E3F90AF" w14:textId="77777777" w:rsidR="006B374F" w:rsidRPr="002D66B7" w:rsidRDefault="006B374F" w:rsidP="00F77595">
            <w:pPr>
              <w:rPr>
                <w:rFonts w:ascii="Calibri" w:eastAsia="Calibri" w:hAnsi="Calibri" w:cs="Calibri"/>
                <w:sz w:val="20"/>
                <w:szCs w:val="20"/>
              </w:rPr>
            </w:pPr>
            <w:r w:rsidRPr="002D66B7">
              <w:rPr>
                <w:rFonts w:ascii="Calibri" w:eastAsia="Calibri" w:hAnsi="Calibri" w:cs="Calibri"/>
                <w:sz w:val="20"/>
                <w:szCs w:val="20"/>
              </w:rPr>
              <w:t>poznański</w:t>
            </w:r>
          </w:p>
        </w:tc>
        <w:tc>
          <w:tcPr>
            <w:tcW w:w="2126" w:type="dxa"/>
          </w:tcPr>
          <w:p w14:paraId="679E795D" w14:textId="77777777" w:rsidR="006B374F" w:rsidRPr="002D66B7" w:rsidRDefault="006B374F" w:rsidP="00F77595">
            <w:pPr>
              <w:rPr>
                <w:rFonts w:ascii="Calibri" w:eastAsia="Calibri" w:hAnsi="Calibri" w:cs="Calibri"/>
                <w:sz w:val="20"/>
                <w:szCs w:val="20"/>
              </w:rPr>
            </w:pPr>
            <w:r w:rsidRPr="002D66B7">
              <w:rPr>
                <w:rFonts w:ascii="Calibri" w:eastAsia="Calibri" w:hAnsi="Calibri" w:cs="Calibri"/>
                <w:b/>
                <w:bCs/>
                <w:sz w:val="20"/>
                <w:szCs w:val="20"/>
              </w:rPr>
              <w:t>powiaty:</w:t>
            </w:r>
            <w:r w:rsidRPr="002D66B7">
              <w:rPr>
                <w:rFonts w:ascii="Calibri" w:eastAsia="Calibri" w:hAnsi="Calibri" w:cs="Calibri"/>
                <w:sz w:val="20"/>
                <w:szCs w:val="20"/>
              </w:rPr>
              <w:t xml:space="preserve"> obornicki, poznański, szamotulski, średzki, śremski</w:t>
            </w:r>
          </w:p>
        </w:tc>
        <w:tc>
          <w:tcPr>
            <w:tcW w:w="1134" w:type="dxa"/>
          </w:tcPr>
          <w:p w14:paraId="0050B6FB" w14:textId="3716CAF8" w:rsidR="006B374F" w:rsidRPr="002D66B7" w:rsidRDefault="006B374F" w:rsidP="00F77595">
            <w:pPr>
              <w:rPr>
                <w:rFonts w:ascii="Calibri" w:eastAsia="Calibri" w:hAnsi="Calibri" w:cs="Calibri"/>
                <w:sz w:val="16"/>
                <w:szCs w:val="16"/>
              </w:rPr>
            </w:pPr>
          </w:p>
          <w:p w14:paraId="45A2E54A" w14:textId="338867D8" w:rsidR="006B374F" w:rsidRPr="002D66B7" w:rsidRDefault="006B374F" w:rsidP="00F77595">
            <w:pPr>
              <w:rPr>
                <w:rFonts w:ascii="Calibri" w:eastAsia="Calibri" w:hAnsi="Calibri" w:cs="Calibri"/>
                <w:sz w:val="16"/>
                <w:szCs w:val="16"/>
              </w:rPr>
            </w:pPr>
            <w:r w:rsidRPr="002D66B7">
              <w:rPr>
                <w:rFonts w:ascii="Calibri" w:eastAsia="Calibri" w:hAnsi="Calibri" w:cs="Calibri"/>
                <w:sz w:val="16"/>
                <w:szCs w:val="16"/>
              </w:rPr>
              <w:t>od 01.01.2025 r. do 31.12.2027 r.</w:t>
            </w:r>
          </w:p>
        </w:tc>
        <w:tc>
          <w:tcPr>
            <w:tcW w:w="1276" w:type="dxa"/>
            <w:vAlign w:val="center"/>
          </w:tcPr>
          <w:p w14:paraId="5E446892" w14:textId="6E1E791F" w:rsidR="006B374F" w:rsidRPr="00D2095B" w:rsidRDefault="006B374F" w:rsidP="00F77595">
            <w:pPr>
              <w:jc w:val="center"/>
              <w:rPr>
                <w:rFonts w:ascii="Calibri" w:eastAsia="Calibri" w:hAnsi="Calibri" w:cs="Calibri"/>
                <w:sz w:val="20"/>
                <w:szCs w:val="20"/>
              </w:rPr>
            </w:pPr>
          </w:p>
          <w:p w14:paraId="15430F11" w14:textId="51F09E8D" w:rsidR="006B374F" w:rsidRPr="00D2095B" w:rsidRDefault="00A303EB" w:rsidP="00F77595">
            <w:pPr>
              <w:jc w:val="center"/>
              <w:rPr>
                <w:rFonts w:ascii="Calibri" w:eastAsia="Calibri" w:hAnsi="Calibri" w:cs="Calibri"/>
                <w:sz w:val="20"/>
                <w:szCs w:val="20"/>
              </w:rPr>
            </w:pPr>
            <w:r>
              <w:rPr>
                <w:rFonts w:ascii="Calibri" w:eastAsia="Calibri" w:hAnsi="Calibri" w:cs="Calibri"/>
                <w:sz w:val="20"/>
                <w:szCs w:val="20"/>
              </w:rPr>
              <w:t>40</w:t>
            </w:r>
            <w:r w:rsidR="006B374F" w:rsidRPr="0051328C">
              <w:rPr>
                <w:rFonts w:ascii="Calibri" w:eastAsia="Calibri" w:hAnsi="Calibri" w:cs="Calibri"/>
                <w:sz w:val="20"/>
                <w:szCs w:val="20"/>
              </w:rPr>
              <w:t>%</w:t>
            </w:r>
          </w:p>
        </w:tc>
        <w:tc>
          <w:tcPr>
            <w:tcW w:w="992" w:type="dxa"/>
            <w:vAlign w:val="center"/>
          </w:tcPr>
          <w:p w14:paraId="6EAA4CE3" w14:textId="750264B8" w:rsidR="006B374F" w:rsidRPr="00D2095B" w:rsidRDefault="006B374F" w:rsidP="00F77595">
            <w:pPr>
              <w:jc w:val="center"/>
              <w:rPr>
                <w:rFonts w:ascii="Calibri" w:eastAsia="Calibri" w:hAnsi="Calibri" w:cs="Calibri"/>
                <w:sz w:val="20"/>
                <w:szCs w:val="20"/>
              </w:rPr>
            </w:pPr>
          </w:p>
          <w:p w14:paraId="48A5C815" w14:textId="16FF7286" w:rsidR="006B374F" w:rsidRPr="00D2095B" w:rsidRDefault="00A303EB" w:rsidP="00F77595">
            <w:pPr>
              <w:jc w:val="center"/>
              <w:rPr>
                <w:rFonts w:ascii="Calibri" w:eastAsia="Calibri" w:hAnsi="Calibri" w:cs="Calibri"/>
                <w:sz w:val="20"/>
                <w:szCs w:val="20"/>
              </w:rPr>
            </w:pPr>
            <w:r>
              <w:rPr>
                <w:rFonts w:ascii="Calibri" w:eastAsia="Calibri" w:hAnsi="Calibri" w:cs="Calibri"/>
                <w:sz w:val="20"/>
                <w:szCs w:val="20"/>
              </w:rPr>
              <w:t>30</w:t>
            </w:r>
            <w:r w:rsidR="006B374F" w:rsidRPr="0051328C">
              <w:rPr>
                <w:rFonts w:ascii="Calibri" w:eastAsia="Calibri" w:hAnsi="Calibri" w:cs="Calibri"/>
                <w:sz w:val="20"/>
                <w:szCs w:val="20"/>
              </w:rPr>
              <w:t>%</w:t>
            </w:r>
          </w:p>
        </w:tc>
        <w:tc>
          <w:tcPr>
            <w:tcW w:w="993" w:type="dxa"/>
            <w:vAlign w:val="center"/>
          </w:tcPr>
          <w:p w14:paraId="4F6B6DF8" w14:textId="686E1F51" w:rsidR="006B374F" w:rsidRPr="002D66B7" w:rsidRDefault="006B374F" w:rsidP="00F77595">
            <w:pPr>
              <w:jc w:val="center"/>
              <w:rPr>
                <w:rFonts w:ascii="Calibri" w:eastAsia="Calibri" w:hAnsi="Calibri" w:cs="Calibri"/>
                <w:sz w:val="20"/>
                <w:szCs w:val="20"/>
              </w:rPr>
            </w:pPr>
          </w:p>
          <w:p w14:paraId="1AF99D5B" w14:textId="60D9365A" w:rsidR="006B374F" w:rsidRPr="002D66B7" w:rsidRDefault="00A303EB" w:rsidP="00F77595">
            <w:pPr>
              <w:jc w:val="center"/>
              <w:rPr>
                <w:rFonts w:ascii="Calibri" w:eastAsia="Calibri" w:hAnsi="Calibri" w:cs="Calibri"/>
                <w:sz w:val="20"/>
                <w:szCs w:val="20"/>
              </w:rPr>
            </w:pPr>
            <w:r>
              <w:rPr>
                <w:rFonts w:ascii="Calibri" w:eastAsia="Calibri" w:hAnsi="Calibri" w:cs="Calibri"/>
                <w:sz w:val="20"/>
                <w:szCs w:val="20"/>
              </w:rPr>
              <w:t>20</w:t>
            </w:r>
            <w:r w:rsidR="006B374F" w:rsidRPr="002D66B7">
              <w:rPr>
                <w:rFonts w:ascii="Calibri" w:eastAsia="Calibri" w:hAnsi="Calibri" w:cs="Calibri"/>
                <w:sz w:val="20"/>
                <w:szCs w:val="20"/>
              </w:rPr>
              <w:t>%</w:t>
            </w:r>
          </w:p>
        </w:tc>
      </w:tr>
      <w:tr w:rsidR="0018262B" w:rsidRPr="00D2095B" w14:paraId="72431977" w14:textId="77777777" w:rsidTr="0018262B">
        <w:tc>
          <w:tcPr>
            <w:tcW w:w="1555" w:type="dxa"/>
            <w:vMerge/>
            <w:tcBorders>
              <w:bottom w:val="single" w:sz="4" w:space="0" w:color="auto"/>
            </w:tcBorders>
          </w:tcPr>
          <w:p w14:paraId="03600D3B" w14:textId="77777777" w:rsidR="0018262B" w:rsidRPr="002D66B7" w:rsidRDefault="0018262B" w:rsidP="00F77595">
            <w:pPr>
              <w:rPr>
                <w:rFonts w:ascii="Calibri" w:eastAsia="Calibri" w:hAnsi="Calibri" w:cs="Calibri"/>
                <w:sz w:val="20"/>
                <w:szCs w:val="20"/>
              </w:rPr>
            </w:pPr>
          </w:p>
        </w:tc>
        <w:tc>
          <w:tcPr>
            <w:tcW w:w="4677" w:type="dxa"/>
            <w:gridSpan w:val="3"/>
            <w:tcBorders>
              <w:bottom w:val="single" w:sz="4" w:space="0" w:color="auto"/>
            </w:tcBorders>
          </w:tcPr>
          <w:p w14:paraId="16E84676" w14:textId="786C59C9" w:rsidR="0018262B" w:rsidRPr="002D66B7" w:rsidRDefault="0018262B" w:rsidP="00F77595">
            <w:pPr>
              <w:rPr>
                <w:rFonts w:ascii="Calibri" w:eastAsia="Calibri" w:hAnsi="Calibri" w:cs="Calibri"/>
                <w:sz w:val="20"/>
                <w:szCs w:val="20"/>
              </w:rPr>
            </w:pPr>
            <w:r w:rsidRPr="00925F75">
              <w:rPr>
                <w:rFonts w:ascii="Calibri" w:eastAsia="Calibri" w:hAnsi="Calibri" w:cs="Calibri"/>
                <w:b/>
                <w:bCs/>
                <w:sz w:val="20"/>
                <w:szCs w:val="20"/>
              </w:rPr>
              <w:t>p</w:t>
            </w:r>
            <w:r w:rsidRPr="002D66B7">
              <w:rPr>
                <w:rFonts w:ascii="Calibri" w:eastAsia="Calibri" w:hAnsi="Calibri" w:cs="Calibri"/>
                <w:b/>
                <w:bCs/>
                <w:sz w:val="20"/>
                <w:szCs w:val="20"/>
              </w:rPr>
              <w:t>ozostałe</w:t>
            </w:r>
            <w:r w:rsidRPr="00925F75">
              <w:rPr>
                <w:rFonts w:ascii="Calibri" w:eastAsia="Calibri" w:hAnsi="Calibri" w:cs="Calibri"/>
                <w:b/>
                <w:bCs/>
                <w:sz w:val="20"/>
                <w:szCs w:val="20"/>
              </w:rPr>
              <w:t xml:space="preserve"> obszary</w:t>
            </w:r>
            <w:r>
              <w:rPr>
                <w:rFonts w:ascii="Calibri" w:eastAsia="Calibri" w:hAnsi="Calibri" w:cs="Calibri"/>
                <w:sz w:val="20"/>
                <w:szCs w:val="20"/>
              </w:rPr>
              <w:t xml:space="preserve"> woj. </w:t>
            </w:r>
            <w:r w:rsidR="00D62033">
              <w:rPr>
                <w:rFonts w:ascii="Calibri" w:eastAsia="Calibri" w:hAnsi="Calibri" w:cs="Calibri"/>
                <w:sz w:val="20"/>
                <w:szCs w:val="20"/>
              </w:rPr>
              <w:t>W</w:t>
            </w:r>
            <w:r>
              <w:rPr>
                <w:rFonts w:ascii="Calibri" w:eastAsia="Calibri" w:hAnsi="Calibri" w:cs="Calibri"/>
                <w:sz w:val="20"/>
                <w:szCs w:val="20"/>
              </w:rPr>
              <w:t>ielkopolskiego</w:t>
            </w:r>
          </w:p>
        </w:tc>
        <w:tc>
          <w:tcPr>
            <w:tcW w:w="1276" w:type="dxa"/>
            <w:tcBorders>
              <w:bottom w:val="single" w:sz="4" w:space="0" w:color="auto"/>
            </w:tcBorders>
          </w:tcPr>
          <w:p w14:paraId="67E3CEEB" w14:textId="0806F2F7" w:rsidR="0018262B" w:rsidRPr="00D2095B" w:rsidRDefault="00A303EB" w:rsidP="00F77595">
            <w:pPr>
              <w:jc w:val="center"/>
              <w:rPr>
                <w:rFonts w:ascii="Calibri" w:eastAsia="Calibri" w:hAnsi="Calibri" w:cs="Calibri"/>
                <w:sz w:val="20"/>
                <w:szCs w:val="20"/>
              </w:rPr>
            </w:pPr>
            <w:r>
              <w:rPr>
                <w:rFonts w:ascii="Calibri" w:eastAsia="Calibri" w:hAnsi="Calibri" w:cs="Calibri"/>
                <w:sz w:val="20"/>
                <w:szCs w:val="20"/>
              </w:rPr>
              <w:t>50</w:t>
            </w:r>
            <w:r w:rsidR="0018262B">
              <w:rPr>
                <w:rFonts w:ascii="Calibri" w:eastAsia="Calibri" w:hAnsi="Calibri" w:cs="Calibri"/>
                <w:sz w:val="20"/>
                <w:szCs w:val="20"/>
              </w:rPr>
              <w:t>%</w:t>
            </w:r>
          </w:p>
        </w:tc>
        <w:tc>
          <w:tcPr>
            <w:tcW w:w="992" w:type="dxa"/>
            <w:tcBorders>
              <w:bottom w:val="single" w:sz="4" w:space="0" w:color="auto"/>
            </w:tcBorders>
          </w:tcPr>
          <w:p w14:paraId="2985F419" w14:textId="0DA3A029" w:rsidR="0018262B" w:rsidRPr="00D2095B" w:rsidRDefault="00A303EB" w:rsidP="00F77595">
            <w:pPr>
              <w:jc w:val="center"/>
              <w:rPr>
                <w:rFonts w:ascii="Calibri" w:eastAsia="Calibri" w:hAnsi="Calibri" w:cs="Calibri"/>
                <w:sz w:val="20"/>
                <w:szCs w:val="20"/>
              </w:rPr>
            </w:pPr>
            <w:r>
              <w:rPr>
                <w:rFonts w:ascii="Calibri" w:eastAsia="Calibri" w:hAnsi="Calibri" w:cs="Calibri"/>
                <w:sz w:val="20"/>
                <w:szCs w:val="20"/>
              </w:rPr>
              <w:t>40</w:t>
            </w:r>
            <w:r w:rsidR="0018262B">
              <w:rPr>
                <w:rFonts w:ascii="Calibri" w:eastAsia="Calibri" w:hAnsi="Calibri" w:cs="Calibri"/>
                <w:sz w:val="20"/>
                <w:szCs w:val="20"/>
              </w:rPr>
              <w:t>%</w:t>
            </w:r>
          </w:p>
        </w:tc>
        <w:tc>
          <w:tcPr>
            <w:tcW w:w="993" w:type="dxa"/>
            <w:tcBorders>
              <w:bottom w:val="single" w:sz="4" w:space="0" w:color="auto"/>
            </w:tcBorders>
          </w:tcPr>
          <w:p w14:paraId="12F23E0C" w14:textId="594401BC" w:rsidR="0018262B" w:rsidRPr="002D66B7" w:rsidRDefault="00A303EB" w:rsidP="00F77595">
            <w:pPr>
              <w:jc w:val="center"/>
              <w:rPr>
                <w:rFonts w:ascii="Calibri" w:eastAsia="Calibri" w:hAnsi="Calibri" w:cs="Calibri"/>
                <w:sz w:val="20"/>
                <w:szCs w:val="20"/>
              </w:rPr>
            </w:pPr>
            <w:r>
              <w:rPr>
                <w:rFonts w:ascii="Calibri" w:eastAsia="Calibri" w:hAnsi="Calibri" w:cs="Calibri"/>
                <w:sz w:val="20"/>
                <w:szCs w:val="20"/>
              </w:rPr>
              <w:t>30</w:t>
            </w:r>
            <w:r w:rsidR="0018262B" w:rsidRPr="002D66B7">
              <w:rPr>
                <w:rFonts w:ascii="Calibri" w:eastAsia="Calibri" w:hAnsi="Calibri" w:cs="Calibri"/>
                <w:sz w:val="20"/>
                <w:szCs w:val="20"/>
              </w:rPr>
              <w:t>%</w:t>
            </w:r>
          </w:p>
        </w:tc>
      </w:tr>
      <w:tr w:rsidR="006B374F" w:rsidRPr="00D2095B" w14:paraId="44D8DDC8" w14:textId="77777777" w:rsidTr="00ED4F26">
        <w:trPr>
          <w:trHeight w:val="977"/>
        </w:trPr>
        <w:tc>
          <w:tcPr>
            <w:tcW w:w="1555" w:type="dxa"/>
            <w:vMerge w:val="restart"/>
            <w:shd w:val="clear" w:color="auto" w:fill="F2F2F2"/>
          </w:tcPr>
          <w:p w14:paraId="1334D289" w14:textId="77777777" w:rsidR="006B374F" w:rsidRPr="002D66B7" w:rsidRDefault="006B374F" w:rsidP="00F77595">
            <w:pPr>
              <w:rPr>
                <w:rFonts w:ascii="Calibri" w:eastAsia="Calibri" w:hAnsi="Calibri" w:cs="Calibri"/>
                <w:sz w:val="20"/>
                <w:szCs w:val="20"/>
              </w:rPr>
            </w:pPr>
            <w:r>
              <w:rPr>
                <w:rFonts w:ascii="Calibri" w:eastAsia="Calibri" w:hAnsi="Calibri" w:cs="Calibri"/>
                <w:sz w:val="20"/>
                <w:szCs w:val="20"/>
              </w:rPr>
              <w:t>D</w:t>
            </w:r>
            <w:r w:rsidRPr="002D66B7">
              <w:rPr>
                <w:rFonts w:ascii="Calibri" w:eastAsia="Calibri" w:hAnsi="Calibri" w:cs="Calibri"/>
                <w:sz w:val="20"/>
                <w:szCs w:val="20"/>
              </w:rPr>
              <w:t xml:space="preserve">olnośląskie </w:t>
            </w:r>
            <w:r w:rsidRPr="00313E0F">
              <w:rPr>
                <w:rFonts w:ascii="Calibri" w:eastAsia="Calibri" w:hAnsi="Calibri" w:cs="Calibri"/>
                <w:color w:val="C00000"/>
                <w:sz w:val="20"/>
                <w:szCs w:val="20"/>
              </w:rPr>
              <w:t>(obszar „c”)</w:t>
            </w:r>
          </w:p>
        </w:tc>
        <w:tc>
          <w:tcPr>
            <w:tcW w:w="1417" w:type="dxa"/>
            <w:shd w:val="clear" w:color="auto" w:fill="F2F2F2"/>
          </w:tcPr>
          <w:p w14:paraId="6C7D7F40" w14:textId="77777777" w:rsidR="006B374F" w:rsidRPr="002D66B7" w:rsidRDefault="006B374F" w:rsidP="00F77595">
            <w:pPr>
              <w:rPr>
                <w:rFonts w:ascii="Calibri" w:eastAsia="Calibri" w:hAnsi="Calibri" w:cs="Calibri"/>
                <w:sz w:val="20"/>
                <w:szCs w:val="20"/>
              </w:rPr>
            </w:pPr>
            <w:r w:rsidRPr="002D66B7">
              <w:rPr>
                <w:rFonts w:ascii="Calibri" w:eastAsia="Calibri" w:hAnsi="Calibri" w:cs="Calibri"/>
                <w:sz w:val="20"/>
                <w:szCs w:val="20"/>
              </w:rPr>
              <w:t>Wrocław</w:t>
            </w:r>
          </w:p>
        </w:tc>
        <w:tc>
          <w:tcPr>
            <w:tcW w:w="2126" w:type="dxa"/>
            <w:shd w:val="clear" w:color="auto" w:fill="F2F2F2"/>
          </w:tcPr>
          <w:p w14:paraId="25879DE8" w14:textId="77777777" w:rsidR="006B374F" w:rsidRPr="002D66B7" w:rsidRDefault="006B374F" w:rsidP="00F77595">
            <w:pPr>
              <w:rPr>
                <w:rFonts w:ascii="Calibri" w:eastAsia="Calibri" w:hAnsi="Calibri" w:cs="Calibri"/>
                <w:sz w:val="20"/>
                <w:szCs w:val="20"/>
              </w:rPr>
            </w:pPr>
            <w:r w:rsidRPr="00111A23">
              <w:rPr>
                <w:rFonts w:ascii="Calibri" w:eastAsia="Calibri" w:hAnsi="Calibri" w:cs="Calibri"/>
                <w:b/>
                <w:bCs/>
                <w:sz w:val="20"/>
                <w:szCs w:val="20"/>
              </w:rPr>
              <w:t>p</w:t>
            </w:r>
            <w:r w:rsidRPr="002D66B7">
              <w:rPr>
                <w:rFonts w:ascii="Calibri" w:eastAsia="Calibri" w:hAnsi="Calibri" w:cs="Calibri"/>
                <w:b/>
                <w:bCs/>
                <w:sz w:val="20"/>
                <w:szCs w:val="20"/>
              </w:rPr>
              <w:t>owiat</w:t>
            </w:r>
            <w:r w:rsidRPr="002D66B7">
              <w:rPr>
                <w:rFonts w:ascii="Calibri" w:eastAsia="Calibri" w:hAnsi="Calibri" w:cs="Calibri"/>
                <w:sz w:val="20"/>
                <w:szCs w:val="20"/>
              </w:rPr>
              <w:t>: m. Wrocław</w:t>
            </w:r>
          </w:p>
        </w:tc>
        <w:tc>
          <w:tcPr>
            <w:tcW w:w="1134" w:type="dxa"/>
            <w:shd w:val="clear" w:color="auto" w:fill="F2F2F2"/>
          </w:tcPr>
          <w:p w14:paraId="1B8BAA5C" w14:textId="401D6574" w:rsidR="006B374F" w:rsidRPr="002D66B7" w:rsidRDefault="006B374F" w:rsidP="00F77595">
            <w:pPr>
              <w:rPr>
                <w:rFonts w:ascii="Calibri" w:eastAsia="Calibri" w:hAnsi="Calibri" w:cs="Calibri"/>
                <w:sz w:val="16"/>
                <w:szCs w:val="16"/>
              </w:rPr>
            </w:pPr>
          </w:p>
          <w:p w14:paraId="5EC1973C" w14:textId="58133B26" w:rsidR="006B374F" w:rsidRPr="002D66B7" w:rsidRDefault="006B374F" w:rsidP="00F77595">
            <w:pPr>
              <w:rPr>
                <w:rFonts w:ascii="Calibri" w:eastAsia="Calibri" w:hAnsi="Calibri" w:cs="Calibri"/>
                <w:sz w:val="16"/>
                <w:szCs w:val="16"/>
              </w:rPr>
            </w:pPr>
            <w:r w:rsidRPr="002D66B7">
              <w:rPr>
                <w:rFonts w:ascii="Calibri" w:eastAsia="Calibri" w:hAnsi="Calibri" w:cs="Calibri"/>
                <w:sz w:val="16"/>
                <w:szCs w:val="16"/>
              </w:rPr>
              <w:t>od 01.01.2025 r. do 31.12.2027 r.</w:t>
            </w:r>
          </w:p>
        </w:tc>
        <w:tc>
          <w:tcPr>
            <w:tcW w:w="1276" w:type="dxa"/>
            <w:shd w:val="clear" w:color="auto" w:fill="F2F2F2" w:themeFill="background1" w:themeFillShade="F2"/>
            <w:vAlign w:val="center"/>
          </w:tcPr>
          <w:p w14:paraId="5A60800E" w14:textId="6E8F9B69" w:rsidR="006B374F" w:rsidRPr="00A34208" w:rsidRDefault="006B374F" w:rsidP="00F77595">
            <w:pPr>
              <w:jc w:val="center"/>
              <w:rPr>
                <w:rFonts w:ascii="Calibri" w:eastAsia="Calibri" w:hAnsi="Calibri" w:cs="Calibri"/>
                <w:sz w:val="20"/>
                <w:szCs w:val="20"/>
              </w:rPr>
            </w:pPr>
          </w:p>
          <w:p w14:paraId="43D3BD5A" w14:textId="21037605" w:rsidR="006B374F" w:rsidRPr="00A34208" w:rsidRDefault="00A303EB" w:rsidP="00F77595">
            <w:pPr>
              <w:jc w:val="center"/>
              <w:rPr>
                <w:rFonts w:ascii="Calibri" w:eastAsia="Calibri" w:hAnsi="Calibri" w:cs="Calibri"/>
                <w:sz w:val="20"/>
                <w:szCs w:val="20"/>
              </w:rPr>
            </w:pPr>
            <w:r>
              <w:rPr>
                <w:rFonts w:ascii="Calibri" w:eastAsia="Calibri" w:hAnsi="Calibri" w:cs="Calibri"/>
                <w:sz w:val="20"/>
                <w:szCs w:val="20"/>
              </w:rPr>
              <w:t>40</w:t>
            </w:r>
            <w:r w:rsidR="006B374F" w:rsidRPr="00A34208">
              <w:rPr>
                <w:rFonts w:ascii="Calibri" w:eastAsia="Calibri" w:hAnsi="Calibri" w:cs="Calibri"/>
                <w:sz w:val="20"/>
                <w:szCs w:val="20"/>
              </w:rPr>
              <w:t>%</w:t>
            </w:r>
          </w:p>
        </w:tc>
        <w:tc>
          <w:tcPr>
            <w:tcW w:w="992" w:type="dxa"/>
            <w:shd w:val="clear" w:color="auto" w:fill="F2F2F2" w:themeFill="background1" w:themeFillShade="F2"/>
            <w:vAlign w:val="center"/>
          </w:tcPr>
          <w:p w14:paraId="4672AFF1" w14:textId="2B9249B3" w:rsidR="006B374F" w:rsidRPr="00A34208" w:rsidRDefault="006B374F" w:rsidP="00F77595">
            <w:pPr>
              <w:jc w:val="center"/>
              <w:rPr>
                <w:rFonts w:ascii="Calibri" w:eastAsia="Calibri" w:hAnsi="Calibri" w:cs="Calibri"/>
                <w:sz w:val="20"/>
                <w:szCs w:val="20"/>
              </w:rPr>
            </w:pPr>
          </w:p>
          <w:p w14:paraId="2D13F665" w14:textId="1CD366CD" w:rsidR="006B374F" w:rsidRPr="00A34208" w:rsidRDefault="00A303EB" w:rsidP="00F77595">
            <w:pPr>
              <w:jc w:val="center"/>
              <w:rPr>
                <w:rFonts w:ascii="Calibri" w:eastAsia="Calibri" w:hAnsi="Calibri" w:cs="Calibri"/>
                <w:sz w:val="20"/>
                <w:szCs w:val="20"/>
              </w:rPr>
            </w:pPr>
            <w:r>
              <w:rPr>
                <w:rFonts w:ascii="Calibri" w:eastAsia="Calibri" w:hAnsi="Calibri" w:cs="Calibri"/>
                <w:sz w:val="20"/>
                <w:szCs w:val="20"/>
              </w:rPr>
              <w:t>30</w:t>
            </w:r>
            <w:r w:rsidR="006B374F" w:rsidRPr="00A34208">
              <w:rPr>
                <w:rFonts w:ascii="Calibri" w:eastAsia="Calibri" w:hAnsi="Calibri" w:cs="Calibri"/>
                <w:sz w:val="20"/>
                <w:szCs w:val="20"/>
              </w:rPr>
              <w:t>%</w:t>
            </w:r>
          </w:p>
        </w:tc>
        <w:tc>
          <w:tcPr>
            <w:tcW w:w="993" w:type="dxa"/>
            <w:shd w:val="clear" w:color="auto" w:fill="F2F2F2" w:themeFill="background1" w:themeFillShade="F2"/>
            <w:vAlign w:val="center"/>
          </w:tcPr>
          <w:p w14:paraId="411F30B9" w14:textId="6179F3CF" w:rsidR="006B374F" w:rsidRPr="002D66B7" w:rsidRDefault="006B374F" w:rsidP="00F77595">
            <w:pPr>
              <w:jc w:val="center"/>
              <w:rPr>
                <w:rFonts w:ascii="Calibri" w:eastAsia="Calibri" w:hAnsi="Calibri" w:cs="Calibri"/>
                <w:sz w:val="20"/>
                <w:szCs w:val="20"/>
              </w:rPr>
            </w:pPr>
          </w:p>
          <w:p w14:paraId="71E04C37" w14:textId="751B76CC" w:rsidR="006B374F" w:rsidRPr="002D66B7" w:rsidRDefault="00A303EB" w:rsidP="00F77595">
            <w:pPr>
              <w:jc w:val="center"/>
              <w:rPr>
                <w:rFonts w:ascii="Calibri" w:eastAsia="Calibri" w:hAnsi="Calibri" w:cs="Calibri"/>
                <w:sz w:val="20"/>
                <w:szCs w:val="20"/>
              </w:rPr>
            </w:pPr>
            <w:r>
              <w:rPr>
                <w:rFonts w:ascii="Calibri" w:eastAsia="Calibri" w:hAnsi="Calibri" w:cs="Calibri"/>
                <w:sz w:val="20"/>
                <w:szCs w:val="20"/>
              </w:rPr>
              <w:t>20</w:t>
            </w:r>
            <w:r w:rsidR="006B374F" w:rsidRPr="002D66B7">
              <w:rPr>
                <w:rFonts w:ascii="Calibri" w:eastAsia="Calibri" w:hAnsi="Calibri" w:cs="Calibri"/>
                <w:sz w:val="20"/>
                <w:szCs w:val="20"/>
              </w:rPr>
              <w:t>%</w:t>
            </w:r>
          </w:p>
        </w:tc>
      </w:tr>
      <w:tr w:rsidR="0018262B" w:rsidRPr="00D2095B" w14:paraId="1BABCE0B" w14:textId="77777777" w:rsidTr="0018262B">
        <w:tc>
          <w:tcPr>
            <w:tcW w:w="1555" w:type="dxa"/>
            <w:vMerge/>
            <w:shd w:val="clear" w:color="auto" w:fill="F2F2F2"/>
          </w:tcPr>
          <w:p w14:paraId="5965023E" w14:textId="77777777" w:rsidR="0018262B" w:rsidRPr="002D66B7" w:rsidRDefault="0018262B" w:rsidP="00F77595">
            <w:pPr>
              <w:rPr>
                <w:rFonts w:ascii="Calibri" w:eastAsia="Calibri" w:hAnsi="Calibri" w:cs="Calibri"/>
                <w:sz w:val="20"/>
                <w:szCs w:val="20"/>
              </w:rPr>
            </w:pPr>
          </w:p>
        </w:tc>
        <w:tc>
          <w:tcPr>
            <w:tcW w:w="4677" w:type="dxa"/>
            <w:gridSpan w:val="3"/>
            <w:shd w:val="clear" w:color="auto" w:fill="F2F2F2"/>
          </w:tcPr>
          <w:p w14:paraId="1313E1E3" w14:textId="4E7A4A8F" w:rsidR="0018262B" w:rsidRPr="002D66B7" w:rsidRDefault="0018262B" w:rsidP="00F77595">
            <w:pPr>
              <w:rPr>
                <w:rFonts w:ascii="Calibri" w:eastAsia="Calibri" w:hAnsi="Calibri" w:cs="Calibri"/>
                <w:sz w:val="20"/>
                <w:szCs w:val="20"/>
              </w:rPr>
            </w:pPr>
            <w:r w:rsidRPr="00925F75">
              <w:rPr>
                <w:rFonts w:ascii="Calibri" w:eastAsia="Calibri" w:hAnsi="Calibri" w:cs="Calibri"/>
                <w:b/>
                <w:bCs/>
                <w:sz w:val="20"/>
                <w:szCs w:val="20"/>
              </w:rPr>
              <w:t>p</w:t>
            </w:r>
            <w:r w:rsidRPr="002D66B7">
              <w:rPr>
                <w:rFonts w:ascii="Calibri" w:eastAsia="Calibri" w:hAnsi="Calibri" w:cs="Calibri"/>
                <w:b/>
                <w:bCs/>
                <w:sz w:val="20"/>
                <w:szCs w:val="20"/>
              </w:rPr>
              <w:t>ozostałe</w:t>
            </w:r>
            <w:r w:rsidRPr="00925F75">
              <w:rPr>
                <w:rFonts w:ascii="Calibri" w:eastAsia="Calibri" w:hAnsi="Calibri" w:cs="Calibri"/>
                <w:b/>
                <w:bCs/>
                <w:sz w:val="20"/>
                <w:szCs w:val="20"/>
              </w:rPr>
              <w:t xml:space="preserve"> obszary</w:t>
            </w:r>
            <w:r>
              <w:rPr>
                <w:rFonts w:ascii="Calibri" w:eastAsia="Calibri" w:hAnsi="Calibri" w:cs="Calibri"/>
                <w:sz w:val="20"/>
                <w:szCs w:val="20"/>
              </w:rPr>
              <w:t xml:space="preserve"> woj. </w:t>
            </w:r>
            <w:r w:rsidR="00D62033">
              <w:rPr>
                <w:rFonts w:ascii="Calibri" w:eastAsia="Calibri" w:hAnsi="Calibri" w:cs="Calibri"/>
                <w:sz w:val="20"/>
                <w:szCs w:val="20"/>
              </w:rPr>
              <w:t>D</w:t>
            </w:r>
            <w:r>
              <w:rPr>
                <w:rFonts w:ascii="Calibri" w:eastAsia="Calibri" w:hAnsi="Calibri" w:cs="Calibri"/>
                <w:sz w:val="20"/>
                <w:szCs w:val="20"/>
              </w:rPr>
              <w:t>olnośląskiego</w:t>
            </w:r>
          </w:p>
        </w:tc>
        <w:tc>
          <w:tcPr>
            <w:tcW w:w="1276" w:type="dxa"/>
            <w:shd w:val="clear" w:color="auto" w:fill="F2F2F2"/>
          </w:tcPr>
          <w:p w14:paraId="7CCD8160" w14:textId="39A97662" w:rsidR="0018262B" w:rsidRPr="00D2095B" w:rsidRDefault="00C72489" w:rsidP="00F77595">
            <w:pPr>
              <w:jc w:val="center"/>
              <w:rPr>
                <w:rFonts w:ascii="Calibri" w:eastAsia="Calibri" w:hAnsi="Calibri" w:cs="Calibri"/>
                <w:sz w:val="20"/>
                <w:szCs w:val="20"/>
              </w:rPr>
            </w:pPr>
            <w:r>
              <w:rPr>
                <w:rFonts w:ascii="Calibri" w:eastAsia="Calibri" w:hAnsi="Calibri" w:cs="Calibri"/>
                <w:sz w:val="20"/>
                <w:szCs w:val="20"/>
              </w:rPr>
              <w:t>50</w:t>
            </w:r>
            <w:r w:rsidR="0018262B">
              <w:rPr>
                <w:rFonts w:ascii="Calibri" w:eastAsia="Calibri" w:hAnsi="Calibri" w:cs="Calibri"/>
                <w:sz w:val="20"/>
                <w:szCs w:val="20"/>
              </w:rPr>
              <w:t>%</w:t>
            </w:r>
          </w:p>
        </w:tc>
        <w:tc>
          <w:tcPr>
            <w:tcW w:w="992" w:type="dxa"/>
            <w:shd w:val="clear" w:color="auto" w:fill="F2F2F2"/>
          </w:tcPr>
          <w:p w14:paraId="72E93DC0" w14:textId="352F5443" w:rsidR="0018262B" w:rsidRPr="00D2095B" w:rsidRDefault="00C72489" w:rsidP="00F77595">
            <w:pPr>
              <w:jc w:val="center"/>
              <w:rPr>
                <w:rFonts w:ascii="Calibri" w:eastAsia="Calibri" w:hAnsi="Calibri" w:cs="Calibri"/>
                <w:sz w:val="20"/>
                <w:szCs w:val="20"/>
              </w:rPr>
            </w:pPr>
            <w:r>
              <w:rPr>
                <w:rFonts w:ascii="Calibri" w:eastAsia="Calibri" w:hAnsi="Calibri" w:cs="Calibri"/>
                <w:sz w:val="20"/>
                <w:szCs w:val="20"/>
              </w:rPr>
              <w:t>40</w:t>
            </w:r>
            <w:r w:rsidR="0018262B">
              <w:rPr>
                <w:rFonts w:ascii="Calibri" w:eastAsia="Calibri" w:hAnsi="Calibri" w:cs="Calibri"/>
                <w:sz w:val="20"/>
                <w:szCs w:val="20"/>
              </w:rPr>
              <w:t>%</w:t>
            </w:r>
          </w:p>
        </w:tc>
        <w:tc>
          <w:tcPr>
            <w:tcW w:w="993" w:type="dxa"/>
            <w:shd w:val="clear" w:color="auto" w:fill="F2F2F2" w:themeFill="background1" w:themeFillShade="F2"/>
          </w:tcPr>
          <w:p w14:paraId="78F2F4F2" w14:textId="73C04CD4" w:rsidR="0018262B" w:rsidRPr="002D66B7" w:rsidRDefault="00C72489" w:rsidP="00F77595">
            <w:pPr>
              <w:jc w:val="center"/>
              <w:rPr>
                <w:rFonts w:ascii="Calibri" w:eastAsia="Calibri" w:hAnsi="Calibri" w:cs="Calibri"/>
                <w:sz w:val="20"/>
                <w:szCs w:val="20"/>
              </w:rPr>
            </w:pPr>
            <w:r>
              <w:rPr>
                <w:rFonts w:ascii="Calibri" w:eastAsia="Calibri" w:hAnsi="Calibri" w:cs="Calibri"/>
                <w:sz w:val="20"/>
                <w:szCs w:val="20"/>
              </w:rPr>
              <w:t>30</w:t>
            </w:r>
            <w:r w:rsidR="0018262B" w:rsidRPr="002D66B7">
              <w:rPr>
                <w:rFonts w:ascii="Calibri" w:eastAsia="Calibri" w:hAnsi="Calibri" w:cs="Calibri"/>
                <w:sz w:val="20"/>
                <w:szCs w:val="20"/>
              </w:rPr>
              <w:t>%</w:t>
            </w:r>
          </w:p>
        </w:tc>
      </w:tr>
      <w:tr w:rsidR="0018262B" w:rsidRPr="00D2095B" w14:paraId="7A7128C7" w14:textId="77777777" w:rsidTr="0018262B">
        <w:tc>
          <w:tcPr>
            <w:tcW w:w="1555" w:type="dxa"/>
            <w:vMerge w:val="restart"/>
          </w:tcPr>
          <w:p w14:paraId="290C45A7" w14:textId="77777777" w:rsidR="0018262B" w:rsidRPr="002D66B7" w:rsidRDefault="0018262B" w:rsidP="00F77595">
            <w:pPr>
              <w:rPr>
                <w:rFonts w:ascii="Calibri" w:eastAsia="Calibri" w:hAnsi="Calibri" w:cs="Calibri"/>
                <w:sz w:val="20"/>
                <w:szCs w:val="20"/>
              </w:rPr>
            </w:pPr>
            <w:r w:rsidRPr="00313E0F">
              <w:rPr>
                <w:rFonts w:ascii="Calibri" w:eastAsia="Calibri" w:hAnsi="Calibri" w:cs="Calibri"/>
                <w:sz w:val="20"/>
                <w:szCs w:val="20"/>
              </w:rPr>
              <w:t>M</w:t>
            </w:r>
            <w:r w:rsidRPr="002D66B7">
              <w:rPr>
                <w:rFonts w:ascii="Calibri" w:eastAsia="Calibri" w:hAnsi="Calibri" w:cs="Calibri"/>
                <w:sz w:val="20"/>
                <w:szCs w:val="20"/>
              </w:rPr>
              <w:t>azowieckie</w:t>
            </w:r>
            <w:r w:rsidRPr="00313E0F">
              <w:rPr>
                <w:rFonts w:ascii="Calibri" w:eastAsia="Calibri" w:hAnsi="Calibri" w:cs="Calibri"/>
                <w:sz w:val="20"/>
                <w:szCs w:val="20"/>
              </w:rPr>
              <w:t xml:space="preserve"> </w:t>
            </w:r>
            <w:r w:rsidRPr="00313E0F">
              <w:rPr>
                <w:rFonts w:ascii="Calibri" w:eastAsia="Calibri" w:hAnsi="Calibri" w:cs="Calibri"/>
                <w:color w:val="C00000"/>
                <w:sz w:val="20"/>
                <w:szCs w:val="20"/>
              </w:rPr>
              <w:t>(obszar „a”)</w:t>
            </w:r>
          </w:p>
        </w:tc>
        <w:tc>
          <w:tcPr>
            <w:tcW w:w="1417" w:type="dxa"/>
          </w:tcPr>
          <w:p w14:paraId="56D8E059" w14:textId="77777777" w:rsidR="0018262B" w:rsidRPr="002D66B7" w:rsidRDefault="0018262B" w:rsidP="00F77595">
            <w:pPr>
              <w:rPr>
                <w:rFonts w:ascii="Calibri" w:eastAsia="Calibri" w:hAnsi="Calibri" w:cs="Calibri"/>
                <w:sz w:val="20"/>
                <w:szCs w:val="20"/>
              </w:rPr>
            </w:pPr>
            <w:r w:rsidRPr="002D66B7">
              <w:rPr>
                <w:rFonts w:ascii="Calibri" w:eastAsia="Calibri" w:hAnsi="Calibri" w:cs="Calibri"/>
                <w:sz w:val="20"/>
                <w:szCs w:val="20"/>
              </w:rPr>
              <w:t>siedlecki</w:t>
            </w:r>
          </w:p>
        </w:tc>
        <w:tc>
          <w:tcPr>
            <w:tcW w:w="3260" w:type="dxa"/>
            <w:gridSpan w:val="2"/>
          </w:tcPr>
          <w:p w14:paraId="59239783" w14:textId="77777777" w:rsidR="0018262B" w:rsidRPr="002D66B7" w:rsidRDefault="0018262B" w:rsidP="00F77595">
            <w:pPr>
              <w:rPr>
                <w:rFonts w:ascii="Calibri" w:eastAsia="Calibri" w:hAnsi="Calibri" w:cs="Calibri"/>
                <w:b/>
                <w:bCs/>
                <w:sz w:val="20"/>
                <w:szCs w:val="20"/>
              </w:rPr>
            </w:pPr>
            <w:r w:rsidRPr="002D66B7">
              <w:rPr>
                <w:rFonts w:ascii="Calibri" w:eastAsia="Calibri" w:hAnsi="Calibri" w:cs="Calibri"/>
                <w:b/>
                <w:bCs/>
                <w:sz w:val="20"/>
                <w:szCs w:val="20"/>
              </w:rPr>
              <w:t xml:space="preserve">powiaty: </w:t>
            </w:r>
            <w:r w:rsidRPr="002D66B7">
              <w:rPr>
                <w:rFonts w:ascii="Calibri" w:eastAsia="Calibri" w:hAnsi="Calibri" w:cs="Calibri"/>
                <w:sz w:val="20"/>
                <w:szCs w:val="20"/>
              </w:rPr>
              <w:t>garwoliński,</w:t>
            </w:r>
            <w:r w:rsidRPr="002D66B7">
              <w:rPr>
                <w:rFonts w:ascii="Calibri" w:eastAsia="Calibri" w:hAnsi="Calibri" w:cs="Calibri"/>
                <w:b/>
                <w:bCs/>
                <w:sz w:val="20"/>
                <w:szCs w:val="20"/>
              </w:rPr>
              <w:t xml:space="preserve"> </w:t>
            </w:r>
            <w:r w:rsidRPr="002D66B7">
              <w:rPr>
                <w:rFonts w:ascii="Calibri" w:eastAsia="Calibri" w:hAnsi="Calibri" w:cs="Calibri"/>
                <w:sz w:val="20"/>
                <w:szCs w:val="20"/>
              </w:rPr>
              <w:t>łosicki, siedlecki, sokołowski, węgrowski, m. Siedlce</w:t>
            </w:r>
          </w:p>
        </w:tc>
        <w:tc>
          <w:tcPr>
            <w:tcW w:w="1276" w:type="dxa"/>
            <w:vAlign w:val="center"/>
          </w:tcPr>
          <w:p w14:paraId="45786CFB" w14:textId="2ABD54FA" w:rsidR="0018262B" w:rsidRPr="00D2095B" w:rsidRDefault="00820E08" w:rsidP="00F77595">
            <w:pPr>
              <w:jc w:val="center"/>
              <w:rPr>
                <w:rFonts w:ascii="Calibri" w:eastAsia="Calibri" w:hAnsi="Calibri" w:cs="Calibri"/>
                <w:sz w:val="20"/>
                <w:szCs w:val="20"/>
              </w:rPr>
            </w:pPr>
            <w:r>
              <w:rPr>
                <w:rFonts w:ascii="Calibri" w:eastAsia="Calibri" w:hAnsi="Calibri" w:cs="Calibri"/>
                <w:sz w:val="20"/>
                <w:szCs w:val="20"/>
              </w:rPr>
              <w:t>75</w:t>
            </w:r>
            <w:r w:rsidR="0018262B">
              <w:rPr>
                <w:rFonts w:ascii="Calibri" w:eastAsia="Calibri" w:hAnsi="Calibri" w:cs="Calibri"/>
                <w:sz w:val="20"/>
                <w:szCs w:val="20"/>
              </w:rPr>
              <w:t>%</w:t>
            </w:r>
          </w:p>
        </w:tc>
        <w:tc>
          <w:tcPr>
            <w:tcW w:w="992" w:type="dxa"/>
            <w:vAlign w:val="center"/>
          </w:tcPr>
          <w:p w14:paraId="37F9C4B5" w14:textId="3C71BA5C" w:rsidR="0018262B" w:rsidRPr="00D2095B" w:rsidRDefault="00A303EB" w:rsidP="00F77595">
            <w:pPr>
              <w:jc w:val="center"/>
              <w:rPr>
                <w:rFonts w:ascii="Calibri" w:eastAsia="Calibri" w:hAnsi="Calibri" w:cs="Calibri"/>
                <w:sz w:val="20"/>
                <w:szCs w:val="20"/>
              </w:rPr>
            </w:pPr>
            <w:r>
              <w:rPr>
                <w:rFonts w:ascii="Calibri" w:eastAsia="Calibri" w:hAnsi="Calibri" w:cs="Calibri"/>
                <w:sz w:val="20"/>
                <w:szCs w:val="20"/>
              </w:rPr>
              <w:t>7</w:t>
            </w:r>
            <w:r w:rsidR="0018262B">
              <w:rPr>
                <w:rFonts w:ascii="Calibri" w:eastAsia="Calibri" w:hAnsi="Calibri" w:cs="Calibri"/>
                <w:sz w:val="20"/>
                <w:szCs w:val="20"/>
              </w:rPr>
              <w:t>0%</w:t>
            </w:r>
          </w:p>
        </w:tc>
        <w:tc>
          <w:tcPr>
            <w:tcW w:w="993" w:type="dxa"/>
            <w:vAlign w:val="center"/>
          </w:tcPr>
          <w:p w14:paraId="03FC2056" w14:textId="72073675" w:rsidR="0018262B" w:rsidRPr="002D66B7" w:rsidRDefault="00A303EB" w:rsidP="00F77595">
            <w:pPr>
              <w:jc w:val="center"/>
              <w:rPr>
                <w:rFonts w:ascii="Calibri" w:eastAsia="Calibri" w:hAnsi="Calibri" w:cs="Calibri"/>
                <w:sz w:val="20"/>
                <w:szCs w:val="20"/>
              </w:rPr>
            </w:pPr>
            <w:r>
              <w:rPr>
                <w:rFonts w:ascii="Calibri" w:eastAsia="Calibri" w:hAnsi="Calibri" w:cs="Calibri"/>
                <w:sz w:val="20"/>
                <w:szCs w:val="20"/>
              </w:rPr>
              <w:t>6</w:t>
            </w:r>
            <w:r w:rsidR="0018262B" w:rsidRPr="002D66B7">
              <w:rPr>
                <w:rFonts w:ascii="Calibri" w:eastAsia="Calibri" w:hAnsi="Calibri" w:cs="Calibri"/>
                <w:sz w:val="20"/>
                <w:szCs w:val="20"/>
              </w:rPr>
              <w:t>0%</w:t>
            </w:r>
          </w:p>
        </w:tc>
      </w:tr>
      <w:tr w:rsidR="0018262B" w:rsidRPr="00D2095B" w14:paraId="21709B05" w14:textId="77777777" w:rsidTr="0018262B">
        <w:tc>
          <w:tcPr>
            <w:tcW w:w="1555" w:type="dxa"/>
            <w:vMerge/>
          </w:tcPr>
          <w:p w14:paraId="62365A92" w14:textId="77777777" w:rsidR="0018262B" w:rsidRPr="002D66B7" w:rsidRDefault="0018262B" w:rsidP="00F77595">
            <w:pPr>
              <w:rPr>
                <w:rFonts w:ascii="Calibri" w:eastAsia="Calibri" w:hAnsi="Calibri" w:cs="Calibri"/>
                <w:sz w:val="20"/>
                <w:szCs w:val="20"/>
              </w:rPr>
            </w:pPr>
          </w:p>
        </w:tc>
        <w:tc>
          <w:tcPr>
            <w:tcW w:w="1417" w:type="dxa"/>
          </w:tcPr>
          <w:p w14:paraId="5A3D6BAE" w14:textId="77777777" w:rsidR="0018262B" w:rsidRPr="002D66B7" w:rsidRDefault="0018262B" w:rsidP="00F77595">
            <w:pPr>
              <w:rPr>
                <w:rFonts w:ascii="Calibri" w:eastAsia="Calibri" w:hAnsi="Calibri" w:cs="Calibri"/>
                <w:sz w:val="20"/>
                <w:szCs w:val="20"/>
              </w:rPr>
            </w:pPr>
            <w:r w:rsidRPr="002D66B7">
              <w:rPr>
                <w:rFonts w:ascii="Calibri" w:eastAsia="Calibri" w:hAnsi="Calibri" w:cs="Calibri"/>
                <w:sz w:val="20"/>
                <w:szCs w:val="20"/>
              </w:rPr>
              <w:t>ciechanowski</w:t>
            </w:r>
          </w:p>
        </w:tc>
        <w:tc>
          <w:tcPr>
            <w:tcW w:w="3260" w:type="dxa"/>
            <w:gridSpan w:val="2"/>
          </w:tcPr>
          <w:p w14:paraId="0158C77C" w14:textId="77777777" w:rsidR="0018262B" w:rsidRPr="002D66B7" w:rsidRDefault="0018262B" w:rsidP="00F77595">
            <w:pPr>
              <w:rPr>
                <w:rFonts w:ascii="Calibri" w:eastAsia="Calibri" w:hAnsi="Calibri" w:cs="Calibri"/>
                <w:sz w:val="20"/>
                <w:szCs w:val="20"/>
              </w:rPr>
            </w:pPr>
            <w:r w:rsidRPr="002D66B7">
              <w:rPr>
                <w:rFonts w:ascii="Calibri" w:eastAsia="Calibri" w:hAnsi="Calibri" w:cs="Calibri"/>
                <w:b/>
                <w:bCs/>
                <w:sz w:val="20"/>
                <w:szCs w:val="20"/>
              </w:rPr>
              <w:t xml:space="preserve">powiaty: </w:t>
            </w:r>
            <w:r w:rsidRPr="002D66B7">
              <w:rPr>
                <w:rFonts w:ascii="Calibri" w:eastAsia="Calibri" w:hAnsi="Calibri" w:cs="Calibri"/>
                <w:sz w:val="20"/>
                <w:szCs w:val="20"/>
              </w:rPr>
              <w:t>ciechanowski, mławski, płoński, pułtuski, żuromiński</w:t>
            </w:r>
          </w:p>
        </w:tc>
        <w:tc>
          <w:tcPr>
            <w:tcW w:w="1276" w:type="dxa"/>
            <w:vMerge w:val="restart"/>
            <w:vAlign w:val="center"/>
          </w:tcPr>
          <w:p w14:paraId="45E98849" w14:textId="19C11AF2" w:rsidR="0018262B" w:rsidRPr="00D2095B" w:rsidRDefault="00A303EB" w:rsidP="00F77595">
            <w:pPr>
              <w:jc w:val="center"/>
              <w:rPr>
                <w:rFonts w:ascii="Calibri" w:eastAsia="Calibri" w:hAnsi="Calibri" w:cs="Calibri"/>
                <w:sz w:val="20"/>
                <w:szCs w:val="20"/>
              </w:rPr>
            </w:pPr>
            <w:r>
              <w:rPr>
                <w:rFonts w:ascii="Calibri" w:eastAsia="Calibri" w:hAnsi="Calibri" w:cs="Calibri"/>
                <w:sz w:val="20"/>
                <w:szCs w:val="20"/>
              </w:rPr>
              <w:t>7</w:t>
            </w:r>
            <w:r w:rsidR="0018262B">
              <w:rPr>
                <w:rFonts w:ascii="Calibri" w:eastAsia="Calibri" w:hAnsi="Calibri" w:cs="Calibri"/>
                <w:sz w:val="20"/>
                <w:szCs w:val="20"/>
              </w:rPr>
              <w:t>0%</w:t>
            </w:r>
          </w:p>
        </w:tc>
        <w:tc>
          <w:tcPr>
            <w:tcW w:w="992" w:type="dxa"/>
            <w:vMerge w:val="restart"/>
            <w:vAlign w:val="center"/>
          </w:tcPr>
          <w:p w14:paraId="2B1E20C1" w14:textId="203373E2" w:rsidR="0018262B" w:rsidRPr="00D2095B" w:rsidRDefault="00A303EB" w:rsidP="00F77595">
            <w:pPr>
              <w:jc w:val="center"/>
              <w:rPr>
                <w:rFonts w:ascii="Calibri" w:eastAsia="Calibri" w:hAnsi="Calibri" w:cs="Calibri"/>
                <w:sz w:val="20"/>
                <w:szCs w:val="20"/>
              </w:rPr>
            </w:pPr>
            <w:r>
              <w:rPr>
                <w:rFonts w:ascii="Calibri" w:eastAsia="Calibri" w:hAnsi="Calibri" w:cs="Calibri"/>
                <w:sz w:val="20"/>
                <w:szCs w:val="20"/>
              </w:rPr>
              <w:t>6</w:t>
            </w:r>
            <w:r w:rsidR="0018262B">
              <w:rPr>
                <w:rFonts w:ascii="Calibri" w:eastAsia="Calibri" w:hAnsi="Calibri" w:cs="Calibri"/>
                <w:sz w:val="20"/>
                <w:szCs w:val="20"/>
              </w:rPr>
              <w:t>0%</w:t>
            </w:r>
          </w:p>
        </w:tc>
        <w:tc>
          <w:tcPr>
            <w:tcW w:w="993" w:type="dxa"/>
            <w:vMerge w:val="restart"/>
            <w:vAlign w:val="center"/>
          </w:tcPr>
          <w:p w14:paraId="3DDB4EF3" w14:textId="70F160E4" w:rsidR="0018262B" w:rsidRPr="002D66B7" w:rsidRDefault="00A303EB" w:rsidP="00F77595">
            <w:pPr>
              <w:jc w:val="center"/>
              <w:rPr>
                <w:rFonts w:ascii="Calibri" w:eastAsia="Calibri" w:hAnsi="Calibri" w:cs="Calibri"/>
                <w:sz w:val="20"/>
                <w:szCs w:val="20"/>
              </w:rPr>
            </w:pPr>
            <w:r>
              <w:rPr>
                <w:rFonts w:ascii="Calibri" w:eastAsia="Calibri" w:hAnsi="Calibri" w:cs="Calibri"/>
                <w:sz w:val="20"/>
                <w:szCs w:val="20"/>
              </w:rPr>
              <w:t>5</w:t>
            </w:r>
            <w:r w:rsidR="0018262B" w:rsidRPr="002D66B7">
              <w:rPr>
                <w:rFonts w:ascii="Calibri" w:eastAsia="Calibri" w:hAnsi="Calibri" w:cs="Calibri"/>
                <w:sz w:val="20"/>
                <w:szCs w:val="20"/>
              </w:rPr>
              <w:t>0%</w:t>
            </w:r>
          </w:p>
        </w:tc>
      </w:tr>
      <w:tr w:rsidR="0018262B" w:rsidRPr="00D2095B" w14:paraId="43655684" w14:textId="77777777" w:rsidTr="0018262B">
        <w:tc>
          <w:tcPr>
            <w:tcW w:w="1555" w:type="dxa"/>
            <w:vMerge/>
          </w:tcPr>
          <w:p w14:paraId="77F7C104" w14:textId="77777777" w:rsidR="0018262B" w:rsidRPr="002D66B7" w:rsidRDefault="0018262B" w:rsidP="00F77595">
            <w:pPr>
              <w:rPr>
                <w:rFonts w:ascii="Calibri" w:eastAsia="Calibri" w:hAnsi="Calibri" w:cs="Calibri"/>
                <w:sz w:val="20"/>
                <w:szCs w:val="20"/>
              </w:rPr>
            </w:pPr>
          </w:p>
        </w:tc>
        <w:tc>
          <w:tcPr>
            <w:tcW w:w="1417" w:type="dxa"/>
          </w:tcPr>
          <w:p w14:paraId="76B4AB1D" w14:textId="77777777" w:rsidR="0018262B" w:rsidRPr="002D66B7" w:rsidRDefault="0018262B" w:rsidP="00F77595">
            <w:pPr>
              <w:rPr>
                <w:rFonts w:ascii="Calibri" w:eastAsia="Calibri" w:hAnsi="Calibri" w:cs="Calibri"/>
                <w:sz w:val="20"/>
                <w:szCs w:val="20"/>
              </w:rPr>
            </w:pPr>
            <w:r w:rsidRPr="002D66B7">
              <w:rPr>
                <w:rFonts w:ascii="Calibri" w:eastAsia="Calibri" w:hAnsi="Calibri" w:cs="Calibri"/>
                <w:sz w:val="20"/>
                <w:szCs w:val="20"/>
              </w:rPr>
              <w:t>ostrołęcki</w:t>
            </w:r>
          </w:p>
        </w:tc>
        <w:tc>
          <w:tcPr>
            <w:tcW w:w="3260" w:type="dxa"/>
            <w:gridSpan w:val="2"/>
          </w:tcPr>
          <w:p w14:paraId="0C1570B3" w14:textId="77777777" w:rsidR="0018262B" w:rsidRPr="002D66B7" w:rsidRDefault="0018262B" w:rsidP="00F77595">
            <w:pPr>
              <w:rPr>
                <w:rFonts w:ascii="Calibri" w:eastAsia="Calibri" w:hAnsi="Calibri" w:cs="Calibri"/>
                <w:sz w:val="20"/>
                <w:szCs w:val="20"/>
              </w:rPr>
            </w:pPr>
            <w:r w:rsidRPr="002D66B7">
              <w:rPr>
                <w:rFonts w:ascii="Calibri" w:eastAsia="Calibri" w:hAnsi="Calibri" w:cs="Calibri"/>
                <w:b/>
                <w:bCs/>
                <w:sz w:val="20"/>
                <w:szCs w:val="20"/>
              </w:rPr>
              <w:t xml:space="preserve">powiaty: </w:t>
            </w:r>
            <w:r w:rsidRPr="002D66B7">
              <w:rPr>
                <w:rFonts w:ascii="Calibri" w:eastAsia="Calibri" w:hAnsi="Calibri" w:cs="Calibri"/>
                <w:sz w:val="20"/>
                <w:szCs w:val="20"/>
              </w:rPr>
              <w:t>makowski, ostrołęcki, ostrowski, przasnyski, wyszkowski, m. Ostrołęka</w:t>
            </w:r>
          </w:p>
        </w:tc>
        <w:tc>
          <w:tcPr>
            <w:tcW w:w="1276" w:type="dxa"/>
            <w:vMerge/>
          </w:tcPr>
          <w:p w14:paraId="2D912B91" w14:textId="77777777" w:rsidR="0018262B" w:rsidRPr="00D2095B" w:rsidRDefault="0018262B" w:rsidP="00F77595">
            <w:pPr>
              <w:rPr>
                <w:rFonts w:ascii="Calibri" w:eastAsia="Calibri" w:hAnsi="Calibri" w:cs="Calibri"/>
                <w:sz w:val="20"/>
                <w:szCs w:val="20"/>
              </w:rPr>
            </w:pPr>
          </w:p>
        </w:tc>
        <w:tc>
          <w:tcPr>
            <w:tcW w:w="992" w:type="dxa"/>
            <w:vMerge/>
          </w:tcPr>
          <w:p w14:paraId="3541176B" w14:textId="77777777" w:rsidR="0018262B" w:rsidRPr="00D2095B" w:rsidRDefault="0018262B" w:rsidP="00F77595">
            <w:pPr>
              <w:rPr>
                <w:rFonts w:ascii="Calibri" w:eastAsia="Calibri" w:hAnsi="Calibri" w:cs="Calibri"/>
                <w:sz w:val="20"/>
                <w:szCs w:val="20"/>
              </w:rPr>
            </w:pPr>
          </w:p>
        </w:tc>
        <w:tc>
          <w:tcPr>
            <w:tcW w:w="993" w:type="dxa"/>
            <w:vMerge/>
          </w:tcPr>
          <w:p w14:paraId="1D2C3120" w14:textId="77777777" w:rsidR="0018262B" w:rsidRPr="002D66B7" w:rsidRDefault="0018262B" w:rsidP="00F77595">
            <w:pPr>
              <w:rPr>
                <w:rFonts w:ascii="Calibri" w:eastAsia="Calibri" w:hAnsi="Calibri" w:cs="Calibri"/>
                <w:sz w:val="20"/>
                <w:szCs w:val="20"/>
              </w:rPr>
            </w:pPr>
          </w:p>
        </w:tc>
      </w:tr>
      <w:tr w:rsidR="0018262B" w:rsidRPr="00D2095B" w14:paraId="1C3E6151" w14:textId="77777777" w:rsidTr="0018262B">
        <w:tc>
          <w:tcPr>
            <w:tcW w:w="1555" w:type="dxa"/>
            <w:vMerge/>
          </w:tcPr>
          <w:p w14:paraId="21B4E125" w14:textId="77777777" w:rsidR="0018262B" w:rsidRPr="002D66B7" w:rsidRDefault="0018262B" w:rsidP="00F77595">
            <w:pPr>
              <w:rPr>
                <w:rFonts w:ascii="Calibri" w:eastAsia="Calibri" w:hAnsi="Calibri" w:cs="Calibri"/>
                <w:sz w:val="20"/>
                <w:szCs w:val="20"/>
              </w:rPr>
            </w:pPr>
          </w:p>
        </w:tc>
        <w:tc>
          <w:tcPr>
            <w:tcW w:w="1417" w:type="dxa"/>
          </w:tcPr>
          <w:p w14:paraId="332DFE17" w14:textId="77777777" w:rsidR="0018262B" w:rsidRPr="002D66B7" w:rsidRDefault="0018262B" w:rsidP="00F77595">
            <w:pPr>
              <w:rPr>
                <w:rFonts w:ascii="Calibri" w:eastAsia="Calibri" w:hAnsi="Calibri" w:cs="Calibri"/>
                <w:sz w:val="20"/>
                <w:szCs w:val="20"/>
              </w:rPr>
            </w:pPr>
            <w:r w:rsidRPr="002D66B7">
              <w:rPr>
                <w:rFonts w:ascii="Calibri" w:eastAsia="Calibri" w:hAnsi="Calibri" w:cs="Calibri"/>
                <w:sz w:val="20"/>
                <w:szCs w:val="20"/>
              </w:rPr>
              <w:t>płocki</w:t>
            </w:r>
          </w:p>
        </w:tc>
        <w:tc>
          <w:tcPr>
            <w:tcW w:w="3260" w:type="dxa"/>
            <w:gridSpan w:val="2"/>
          </w:tcPr>
          <w:p w14:paraId="0679944C" w14:textId="77777777" w:rsidR="0018262B" w:rsidRPr="002D66B7" w:rsidRDefault="0018262B" w:rsidP="00F77595">
            <w:pPr>
              <w:rPr>
                <w:rFonts w:ascii="Calibri" w:eastAsia="Calibri" w:hAnsi="Calibri" w:cs="Calibri"/>
                <w:sz w:val="20"/>
                <w:szCs w:val="20"/>
              </w:rPr>
            </w:pPr>
            <w:r w:rsidRPr="002D66B7">
              <w:rPr>
                <w:rFonts w:ascii="Calibri" w:eastAsia="Calibri" w:hAnsi="Calibri" w:cs="Calibri"/>
                <w:b/>
                <w:bCs/>
                <w:sz w:val="20"/>
                <w:szCs w:val="20"/>
              </w:rPr>
              <w:t xml:space="preserve">powiaty: </w:t>
            </w:r>
            <w:r w:rsidRPr="002D66B7">
              <w:rPr>
                <w:rFonts w:ascii="Calibri" w:eastAsia="Calibri" w:hAnsi="Calibri" w:cs="Calibri"/>
                <w:sz w:val="20"/>
                <w:szCs w:val="20"/>
              </w:rPr>
              <w:t>gostyniński, płocki, sierpecki, m. Płock</w:t>
            </w:r>
          </w:p>
        </w:tc>
        <w:tc>
          <w:tcPr>
            <w:tcW w:w="1276" w:type="dxa"/>
            <w:vMerge/>
          </w:tcPr>
          <w:p w14:paraId="013AD638" w14:textId="77777777" w:rsidR="0018262B" w:rsidRPr="00D2095B" w:rsidRDefault="0018262B" w:rsidP="00F77595">
            <w:pPr>
              <w:rPr>
                <w:rFonts w:ascii="Calibri" w:eastAsia="Calibri" w:hAnsi="Calibri" w:cs="Calibri"/>
                <w:sz w:val="20"/>
                <w:szCs w:val="20"/>
              </w:rPr>
            </w:pPr>
          </w:p>
        </w:tc>
        <w:tc>
          <w:tcPr>
            <w:tcW w:w="992" w:type="dxa"/>
            <w:vMerge/>
          </w:tcPr>
          <w:p w14:paraId="4938D512" w14:textId="77777777" w:rsidR="0018262B" w:rsidRPr="00D2095B" w:rsidRDefault="0018262B" w:rsidP="00F77595">
            <w:pPr>
              <w:rPr>
                <w:rFonts w:ascii="Calibri" w:eastAsia="Calibri" w:hAnsi="Calibri" w:cs="Calibri"/>
                <w:sz w:val="20"/>
                <w:szCs w:val="20"/>
              </w:rPr>
            </w:pPr>
          </w:p>
        </w:tc>
        <w:tc>
          <w:tcPr>
            <w:tcW w:w="993" w:type="dxa"/>
            <w:vMerge/>
          </w:tcPr>
          <w:p w14:paraId="2452EC42" w14:textId="77777777" w:rsidR="0018262B" w:rsidRPr="002D66B7" w:rsidRDefault="0018262B" w:rsidP="00F77595">
            <w:pPr>
              <w:rPr>
                <w:rFonts w:ascii="Calibri" w:eastAsia="Calibri" w:hAnsi="Calibri" w:cs="Calibri"/>
                <w:sz w:val="20"/>
                <w:szCs w:val="20"/>
              </w:rPr>
            </w:pPr>
          </w:p>
        </w:tc>
      </w:tr>
      <w:tr w:rsidR="0018262B" w:rsidRPr="00D2095B" w14:paraId="7321C8B1" w14:textId="77777777" w:rsidTr="0018262B">
        <w:tc>
          <w:tcPr>
            <w:tcW w:w="1555" w:type="dxa"/>
            <w:vMerge/>
          </w:tcPr>
          <w:p w14:paraId="202822E4" w14:textId="77777777" w:rsidR="0018262B" w:rsidRPr="002D66B7" w:rsidRDefault="0018262B" w:rsidP="00F77595">
            <w:pPr>
              <w:rPr>
                <w:rFonts w:ascii="Calibri" w:eastAsia="Calibri" w:hAnsi="Calibri" w:cs="Calibri"/>
                <w:sz w:val="20"/>
                <w:szCs w:val="20"/>
              </w:rPr>
            </w:pPr>
          </w:p>
        </w:tc>
        <w:tc>
          <w:tcPr>
            <w:tcW w:w="1417" w:type="dxa"/>
          </w:tcPr>
          <w:p w14:paraId="3ECF3CBA" w14:textId="77777777" w:rsidR="0018262B" w:rsidRPr="002D66B7" w:rsidRDefault="0018262B" w:rsidP="00F77595">
            <w:pPr>
              <w:rPr>
                <w:rFonts w:ascii="Calibri" w:eastAsia="Calibri" w:hAnsi="Calibri" w:cs="Calibri"/>
                <w:sz w:val="20"/>
                <w:szCs w:val="20"/>
              </w:rPr>
            </w:pPr>
            <w:r w:rsidRPr="002D66B7">
              <w:rPr>
                <w:rFonts w:ascii="Calibri" w:eastAsia="Calibri" w:hAnsi="Calibri" w:cs="Calibri"/>
                <w:sz w:val="20"/>
                <w:szCs w:val="20"/>
              </w:rPr>
              <w:t>radomski</w:t>
            </w:r>
          </w:p>
        </w:tc>
        <w:tc>
          <w:tcPr>
            <w:tcW w:w="3260" w:type="dxa"/>
            <w:gridSpan w:val="2"/>
          </w:tcPr>
          <w:p w14:paraId="2F597261" w14:textId="77777777" w:rsidR="0018262B" w:rsidRPr="002D66B7" w:rsidRDefault="0018262B" w:rsidP="00F77595">
            <w:pPr>
              <w:rPr>
                <w:rFonts w:ascii="Calibri" w:eastAsia="Calibri" w:hAnsi="Calibri" w:cs="Calibri"/>
                <w:sz w:val="20"/>
                <w:szCs w:val="20"/>
              </w:rPr>
            </w:pPr>
            <w:r w:rsidRPr="002D66B7">
              <w:rPr>
                <w:rFonts w:ascii="Calibri" w:eastAsia="Calibri" w:hAnsi="Calibri" w:cs="Calibri"/>
                <w:b/>
                <w:bCs/>
                <w:sz w:val="20"/>
                <w:szCs w:val="20"/>
              </w:rPr>
              <w:t xml:space="preserve">powiaty: </w:t>
            </w:r>
            <w:r w:rsidRPr="002D66B7">
              <w:rPr>
                <w:rFonts w:ascii="Calibri" w:eastAsia="Calibri" w:hAnsi="Calibri" w:cs="Calibri"/>
                <w:sz w:val="20"/>
                <w:szCs w:val="20"/>
              </w:rPr>
              <w:t>białobrzeski, kozienicki, lipski, przysuski, radomski, szydłowiecki, zwoleński, m. Radom</w:t>
            </w:r>
          </w:p>
        </w:tc>
        <w:tc>
          <w:tcPr>
            <w:tcW w:w="1276" w:type="dxa"/>
            <w:vMerge/>
          </w:tcPr>
          <w:p w14:paraId="1585BFAB" w14:textId="77777777" w:rsidR="0018262B" w:rsidRPr="00D2095B" w:rsidRDefault="0018262B" w:rsidP="00F77595">
            <w:pPr>
              <w:rPr>
                <w:rFonts w:ascii="Calibri" w:eastAsia="Calibri" w:hAnsi="Calibri" w:cs="Calibri"/>
                <w:sz w:val="20"/>
                <w:szCs w:val="20"/>
              </w:rPr>
            </w:pPr>
          </w:p>
        </w:tc>
        <w:tc>
          <w:tcPr>
            <w:tcW w:w="992" w:type="dxa"/>
            <w:vMerge/>
          </w:tcPr>
          <w:p w14:paraId="4716C116" w14:textId="77777777" w:rsidR="0018262B" w:rsidRPr="00D2095B" w:rsidRDefault="0018262B" w:rsidP="00F77595">
            <w:pPr>
              <w:rPr>
                <w:rFonts w:ascii="Calibri" w:eastAsia="Calibri" w:hAnsi="Calibri" w:cs="Calibri"/>
                <w:sz w:val="20"/>
                <w:szCs w:val="20"/>
              </w:rPr>
            </w:pPr>
          </w:p>
        </w:tc>
        <w:tc>
          <w:tcPr>
            <w:tcW w:w="993" w:type="dxa"/>
            <w:vMerge/>
          </w:tcPr>
          <w:p w14:paraId="4EFA4B26" w14:textId="77777777" w:rsidR="0018262B" w:rsidRPr="002D66B7" w:rsidRDefault="0018262B" w:rsidP="00F77595">
            <w:pPr>
              <w:rPr>
                <w:rFonts w:ascii="Calibri" w:eastAsia="Calibri" w:hAnsi="Calibri" w:cs="Calibri"/>
                <w:sz w:val="20"/>
                <w:szCs w:val="20"/>
              </w:rPr>
            </w:pPr>
          </w:p>
        </w:tc>
      </w:tr>
      <w:tr w:rsidR="0018262B" w:rsidRPr="00D2095B" w14:paraId="5FC7FF4F" w14:textId="77777777" w:rsidTr="0018262B">
        <w:tc>
          <w:tcPr>
            <w:tcW w:w="1555" w:type="dxa"/>
            <w:vMerge/>
          </w:tcPr>
          <w:p w14:paraId="721D30F9" w14:textId="77777777" w:rsidR="0018262B" w:rsidRPr="002D66B7" w:rsidRDefault="0018262B" w:rsidP="00F77595">
            <w:pPr>
              <w:rPr>
                <w:rFonts w:ascii="Calibri" w:eastAsia="Calibri" w:hAnsi="Calibri" w:cs="Calibri"/>
                <w:sz w:val="20"/>
                <w:szCs w:val="20"/>
              </w:rPr>
            </w:pPr>
          </w:p>
        </w:tc>
        <w:tc>
          <w:tcPr>
            <w:tcW w:w="1417" w:type="dxa"/>
          </w:tcPr>
          <w:p w14:paraId="64ECB844" w14:textId="77777777" w:rsidR="0018262B" w:rsidRPr="002D66B7" w:rsidRDefault="0018262B" w:rsidP="00F77595">
            <w:pPr>
              <w:rPr>
                <w:rFonts w:ascii="Calibri" w:eastAsia="Calibri" w:hAnsi="Calibri" w:cs="Calibri"/>
                <w:sz w:val="20"/>
                <w:szCs w:val="20"/>
              </w:rPr>
            </w:pPr>
            <w:r w:rsidRPr="002D66B7">
              <w:rPr>
                <w:rFonts w:ascii="Calibri" w:eastAsia="Calibri" w:hAnsi="Calibri" w:cs="Calibri"/>
                <w:sz w:val="20"/>
                <w:szCs w:val="20"/>
              </w:rPr>
              <w:t>żyrardowski</w:t>
            </w:r>
          </w:p>
        </w:tc>
        <w:tc>
          <w:tcPr>
            <w:tcW w:w="3260" w:type="dxa"/>
            <w:gridSpan w:val="2"/>
          </w:tcPr>
          <w:p w14:paraId="6865F3A0" w14:textId="77777777" w:rsidR="0018262B" w:rsidRPr="002D66B7" w:rsidRDefault="0018262B" w:rsidP="00F77595">
            <w:pPr>
              <w:rPr>
                <w:rFonts w:ascii="Calibri" w:eastAsia="Calibri" w:hAnsi="Calibri" w:cs="Calibri"/>
                <w:sz w:val="20"/>
                <w:szCs w:val="20"/>
              </w:rPr>
            </w:pPr>
            <w:r w:rsidRPr="002D66B7">
              <w:rPr>
                <w:rFonts w:ascii="Calibri" w:eastAsia="Calibri" w:hAnsi="Calibri" w:cs="Calibri"/>
                <w:b/>
                <w:bCs/>
                <w:sz w:val="20"/>
                <w:szCs w:val="20"/>
              </w:rPr>
              <w:t xml:space="preserve">powiaty: </w:t>
            </w:r>
            <w:r w:rsidRPr="002D66B7">
              <w:rPr>
                <w:rFonts w:ascii="Calibri" w:eastAsia="Calibri" w:hAnsi="Calibri" w:cs="Calibri"/>
                <w:sz w:val="20"/>
                <w:szCs w:val="20"/>
              </w:rPr>
              <w:t>grójecki, sochaczewski, żyrardowski</w:t>
            </w:r>
          </w:p>
        </w:tc>
        <w:tc>
          <w:tcPr>
            <w:tcW w:w="1276" w:type="dxa"/>
            <w:vMerge/>
          </w:tcPr>
          <w:p w14:paraId="2A4022AF" w14:textId="77777777" w:rsidR="0018262B" w:rsidRPr="00D2095B" w:rsidRDefault="0018262B" w:rsidP="00F77595">
            <w:pPr>
              <w:rPr>
                <w:rFonts w:ascii="Calibri" w:eastAsia="Calibri" w:hAnsi="Calibri" w:cs="Calibri"/>
                <w:sz w:val="20"/>
                <w:szCs w:val="20"/>
              </w:rPr>
            </w:pPr>
          </w:p>
        </w:tc>
        <w:tc>
          <w:tcPr>
            <w:tcW w:w="992" w:type="dxa"/>
            <w:vMerge/>
          </w:tcPr>
          <w:p w14:paraId="797F5A14" w14:textId="77777777" w:rsidR="0018262B" w:rsidRPr="00D2095B" w:rsidRDefault="0018262B" w:rsidP="00F77595">
            <w:pPr>
              <w:rPr>
                <w:rFonts w:ascii="Calibri" w:eastAsia="Calibri" w:hAnsi="Calibri" w:cs="Calibri"/>
                <w:sz w:val="20"/>
                <w:szCs w:val="20"/>
              </w:rPr>
            </w:pPr>
          </w:p>
        </w:tc>
        <w:tc>
          <w:tcPr>
            <w:tcW w:w="993" w:type="dxa"/>
            <w:vMerge/>
          </w:tcPr>
          <w:p w14:paraId="25AFAE8C" w14:textId="77777777" w:rsidR="0018262B" w:rsidRPr="002D66B7" w:rsidRDefault="0018262B" w:rsidP="00F77595">
            <w:pPr>
              <w:rPr>
                <w:rFonts w:ascii="Calibri" w:eastAsia="Calibri" w:hAnsi="Calibri" w:cs="Calibri"/>
                <w:sz w:val="20"/>
                <w:szCs w:val="20"/>
              </w:rPr>
            </w:pPr>
          </w:p>
        </w:tc>
      </w:tr>
      <w:tr w:rsidR="0018262B" w:rsidRPr="00D2095B" w14:paraId="63D79EC7" w14:textId="77777777" w:rsidTr="0018262B">
        <w:tc>
          <w:tcPr>
            <w:tcW w:w="1555" w:type="dxa"/>
            <w:vMerge w:val="restart"/>
          </w:tcPr>
          <w:p w14:paraId="169A5A5C" w14:textId="77777777" w:rsidR="0018262B" w:rsidRPr="00313E0F" w:rsidRDefault="0018262B" w:rsidP="00F77595">
            <w:pPr>
              <w:rPr>
                <w:rFonts w:ascii="Calibri" w:eastAsia="Calibri" w:hAnsi="Calibri" w:cs="Calibri"/>
                <w:sz w:val="20"/>
                <w:szCs w:val="20"/>
              </w:rPr>
            </w:pPr>
            <w:r w:rsidRPr="00313E0F">
              <w:rPr>
                <w:rFonts w:ascii="Calibri" w:eastAsia="Calibri" w:hAnsi="Calibri" w:cs="Calibri"/>
                <w:sz w:val="20"/>
                <w:szCs w:val="20"/>
              </w:rPr>
              <w:t>M</w:t>
            </w:r>
            <w:r w:rsidRPr="002D66B7">
              <w:rPr>
                <w:rFonts w:ascii="Calibri" w:eastAsia="Calibri" w:hAnsi="Calibri" w:cs="Calibri"/>
                <w:sz w:val="20"/>
                <w:szCs w:val="20"/>
              </w:rPr>
              <w:t>azowieckie</w:t>
            </w:r>
            <w:r w:rsidRPr="00313E0F">
              <w:rPr>
                <w:rFonts w:ascii="Calibri" w:eastAsia="Calibri" w:hAnsi="Calibri" w:cs="Calibri"/>
                <w:sz w:val="20"/>
                <w:szCs w:val="20"/>
              </w:rPr>
              <w:t xml:space="preserve"> </w:t>
            </w:r>
            <w:r w:rsidRPr="00313E0F">
              <w:rPr>
                <w:rFonts w:ascii="Calibri" w:eastAsia="Calibri" w:hAnsi="Calibri" w:cs="Calibri"/>
                <w:color w:val="C00000"/>
                <w:sz w:val="20"/>
                <w:szCs w:val="20"/>
              </w:rPr>
              <w:t>(obszar „c”)</w:t>
            </w:r>
          </w:p>
        </w:tc>
        <w:tc>
          <w:tcPr>
            <w:tcW w:w="1417" w:type="dxa"/>
          </w:tcPr>
          <w:p w14:paraId="3A893B09" w14:textId="77777777" w:rsidR="0018262B" w:rsidRPr="00313E0F" w:rsidRDefault="0018262B" w:rsidP="00F77595">
            <w:pPr>
              <w:rPr>
                <w:rFonts w:ascii="Calibri" w:eastAsia="Calibri" w:hAnsi="Calibri" w:cs="Calibri"/>
                <w:sz w:val="20"/>
                <w:szCs w:val="20"/>
              </w:rPr>
            </w:pPr>
            <w:r w:rsidRPr="002D66B7">
              <w:rPr>
                <w:rFonts w:ascii="Calibri" w:eastAsia="Calibri" w:hAnsi="Calibri" w:cs="Calibri"/>
                <w:sz w:val="20"/>
                <w:szCs w:val="20"/>
              </w:rPr>
              <w:t>warszawski wschodni</w:t>
            </w:r>
          </w:p>
        </w:tc>
        <w:tc>
          <w:tcPr>
            <w:tcW w:w="3260" w:type="dxa"/>
            <w:gridSpan w:val="2"/>
          </w:tcPr>
          <w:p w14:paraId="3DAAAA47" w14:textId="77777777" w:rsidR="0018262B" w:rsidRPr="002D66B7" w:rsidRDefault="0018262B" w:rsidP="00F77595">
            <w:pPr>
              <w:rPr>
                <w:rFonts w:ascii="Calibri" w:eastAsia="Calibri" w:hAnsi="Calibri" w:cs="Calibri"/>
                <w:sz w:val="20"/>
                <w:szCs w:val="20"/>
                <w:highlight w:val="green"/>
              </w:rPr>
            </w:pPr>
            <w:r w:rsidRPr="002D66B7">
              <w:rPr>
                <w:rFonts w:ascii="Calibri" w:eastAsia="Calibri" w:hAnsi="Calibri" w:cs="Calibri"/>
                <w:b/>
                <w:bCs/>
                <w:sz w:val="20"/>
                <w:szCs w:val="20"/>
              </w:rPr>
              <w:t xml:space="preserve">gminy: </w:t>
            </w:r>
            <w:r w:rsidRPr="002D66B7">
              <w:rPr>
                <w:rFonts w:ascii="Calibri" w:eastAsia="Calibri" w:hAnsi="Calibri" w:cs="Calibri"/>
                <w:sz w:val="20"/>
                <w:szCs w:val="20"/>
              </w:rPr>
              <w:t>Dąbrówka, Dobre, Jadów, Kałuszyn, Kołbiel, Latowicz, Mrozy, Osieck, Serock, Sien</w:t>
            </w:r>
            <w:r>
              <w:rPr>
                <w:rFonts w:ascii="Calibri" w:eastAsia="Calibri" w:hAnsi="Calibri" w:cs="Calibri"/>
                <w:sz w:val="20"/>
                <w:szCs w:val="20"/>
              </w:rPr>
              <w:t>n</w:t>
            </w:r>
            <w:r w:rsidRPr="002D66B7">
              <w:rPr>
                <w:rFonts w:ascii="Calibri" w:eastAsia="Calibri" w:hAnsi="Calibri" w:cs="Calibri"/>
                <w:sz w:val="20"/>
                <w:szCs w:val="20"/>
              </w:rPr>
              <w:t>ica, Sobienie – Jeziory, Strachówka, Tłuszcz</w:t>
            </w:r>
          </w:p>
        </w:tc>
        <w:tc>
          <w:tcPr>
            <w:tcW w:w="1276" w:type="dxa"/>
            <w:vAlign w:val="center"/>
          </w:tcPr>
          <w:p w14:paraId="57532FBF" w14:textId="771F0914" w:rsidR="0018262B" w:rsidRDefault="00A303EB" w:rsidP="00F77595">
            <w:pPr>
              <w:jc w:val="center"/>
              <w:rPr>
                <w:rFonts w:ascii="Calibri" w:eastAsia="Calibri" w:hAnsi="Calibri" w:cs="Calibri"/>
                <w:sz w:val="20"/>
                <w:szCs w:val="20"/>
              </w:rPr>
            </w:pPr>
            <w:r>
              <w:rPr>
                <w:rFonts w:ascii="Calibri" w:eastAsia="Calibri" w:hAnsi="Calibri" w:cs="Calibri"/>
                <w:sz w:val="20"/>
                <w:szCs w:val="20"/>
              </w:rPr>
              <w:t>60</w:t>
            </w:r>
            <w:r w:rsidR="0018262B">
              <w:rPr>
                <w:rFonts w:ascii="Calibri" w:eastAsia="Calibri" w:hAnsi="Calibri" w:cs="Calibri"/>
                <w:sz w:val="20"/>
                <w:szCs w:val="20"/>
              </w:rPr>
              <w:t>%</w:t>
            </w:r>
          </w:p>
        </w:tc>
        <w:tc>
          <w:tcPr>
            <w:tcW w:w="992" w:type="dxa"/>
            <w:vAlign w:val="center"/>
          </w:tcPr>
          <w:p w14:paraId="2D5B96F1" w14:textId="7CAC4703" w:rsidR="0018262B" w:rsidRDefault="00A303EB" w:rsidP="00F77595">
            <w:pPr>
              <w:jc w:val="center"/>
              <w:rPr>
                <w:rFonts w:ascii="Calibri" w:eastAsia="Calibri" w:hAnsi="Calibri" w:cs="Calibri"/>
                <w:sz w:val="20"/>
                <w:szCs w:val="20"/>
              </w:rPr>
            </w:pPr>
            <w:r>
              <w:rPr>
                <w:rFonts w:ascii="Calibri" w:eastAsia="Calibri" w:hAnsi="Calibri" w:cs="Calibri"/>
                <w:sz w:val="20"/>
                <w:szCs w:val="20"/>
              </w:rPr>
              <w:t>50</w:t>
            </w:r>
            <w:r w:rsidR="0018262B">
              <w:rPr>
                <w:rFonts w:ascii="Calibri" w:eastAsia="Calibri" w:hAnsi="Calibri" w:cs="Calibri"/>
                <w:sz w:val="20"/>
                <w:szCs w:val="20"/>
              </w:rPr>
              <w:t>%</w:t>
            </w:r>
          </w:p>
        </w:tc>
        <w:tc>
          <w:tcPr>
            <w:tcW w:w="993" w:type="dxa"/>
            <w:vAlign w:val="center"/>
          </w:tcPr>
          <w:p w14:paraId="2DBA6C40" w14:textId="782D3CF1" w:rsidR="0018262B" w:rsidRPr="002D66B7" w:rsidRDefault="00A303EB" w:rsidP="00F77595">
            <w:pPr>
              <w:jc w:val="center"/>
              <w:rPr>
                <w:rFonts w:ascii="Calibri" w:eastAsia="Calibri" w:hAnsi="Calibri" w:cs="Calibri"/>
                <w:sz w:val="20"/>
                <w:szCs w:val="20"/>
              </w:rPr>
            </w:pPr>
            <w:r>
              <w:rPr>
                <w:rFonts w:ascii="Calibri" w:eastAsia="Calibri" w:hAnsi="Calibri" w:cs="Calibri"/>
                <w:sz w:val="20"/>
                <w:szCs w:val="20"/>
              </w:rPr>
              <w:t>40</w:t>
            </w:r>
            <w:r w:rsidR="0018262B" w:rsidRPr="002D66B7">
              <w:rPr>
                <w:rFonts w:ascii="Calibri" w:eastAsia="Calibri" w:hAnsi="Calibri" w:cs="Calibri"/>
                <w:sz w:val="20"/>
                <w:szCs w:val="20"/>
              </w:rPr>
              <w:t>%</w:t>
            </w:r>
          </w:p>
        </w:tc>
      </w:tr>
      <w:tr w:rsidR="0018262B" w:rsidRPr="00D2095B" w14:paraId="52D974FB" w14:textId="77777777" w:rsidTr="0018262B">
        <w:tc>
          <w:tcPr>
            <w:tcW w:w="1555" w:type="dxa"/>
            <w:vMerge/>
          </w:tcPr>
          <w:p w14:paraId="61F315BA" w14:textId="77777777" w:rsidR="0018262B" w:rsidRPr="00313E0F" w:rsidRDefault="0018262B" w:rsidP="00F77595">
            <w:pPr>
              <w:rPr>
                <w:rFonts w:ascii="Calibri" w:eastAsia="Calibri" w:hAnsi="Calibri" w:cs="Calibri"/>
                <w:sz w:val="20"/>
                <w:szCs w:val="20"/>
              </w:rPr>
            </w:pPr>
          </w:p>
        </w:tc>
        <w:tc>
          <w:tcPr>
            <w:tcW w:w="1417" w:type="dxa"/>
          </w:tcPr>
          <w:p w14:paraId="45956DD1" w14:textId="77777777" w:rsidR="0018262B" w:rsidRPr="00313E0F" w:rsidRDefault="0018262B" w:rsidP="00F77595">
            <w:pPr>
              <w:rPr>
                <w:rFonts w:ascii="Calibri" w:eastAsia="Calibri" w:hAnsi="Calibri" w:cs="Calibri"/>
                <w:sz w:val="20"/>
                <w:szCs w:val="20"/>
              </w:rPr>
            </w:pPr>
            <w:r w:rsidRPr="002D66B7">
              <w:rPr>
                <w:rFonts w:ascii="Calibri" w:eastAsia="Calibri" w:hAnsi="Calibri" w:cs="Calibri"/>
                <w:sz w:val="20"/>
                <w:szCs w:val="20"/>
              </w:rPr>
              <w:t>warszawski zachodni</w:t>
            </w:r>
          </w:p>
        </w:tc>
        <w:tc>
          <w:tcPr>
            <w:tcW w:w="3260" w:type="dxa"/>
            <w:gridSpan w:val="2"/>
          </w:tcPr>
          <w:p w14:paraId="10A2BE53" w14:textId="77777777" w:rsidR="0018262B" w:rsidRPr="002D66B7" w:rsidRDefault="0018262B" w:rsidP="00F77595">
            <w:pPr>
              <w:rPr>
                <w:rFonts w:ascii="Calibri" w:eastAsia="Calibri" w:hAnsi="Calibri" w:cs="Calibri"/>
                <w:sz w:val="20"/>
                <w:szCs w:val="20"/>
                <w:highlight w:val="green"/>
              </w:rPr>
            </w:pPr>
            <w:r w:rsidRPr="002D66B7">
              <w:rPr>
                <w:rFonts w:ascii="Calibri" w:eastAsia="Calibri" w:hAnsi="Calibri" w:cs="Calibri"/>
                <w:b/>
                <w:bCs/>
                <w:sz w:val="20"/>
                <w:szCs w:val="20"/>
              </w:rPr>
              <w:t xml:space="preserve">gminy: </w:t>
            </w:r>
            <w:r w:rsidRPr="002D66B7">
              <w:rPr>
                <w:rFonts w:ascii="Calibri" w:eastAsia="Calibri" w:hAnsi="Calibri" w:cs="Calibri"/>
                <w:sz w:val="20"/>
                <w:szCs w:val="20"/>
              </w:rPr>
              <w:t>Baranów, Błonie, Góra Kalwaria, Grodzisk Mazowiecki, Jaktorów, Kampinos, Leoncin, Leszno, Nasielsk, Prażmów, Tarczyn, Zakroczym, Żabia Wola</w:t>
            </w:r>
          </w:p>
        </w:tc>
        <w:tc>
          <w:tcPr>
            <w:tcW w:w="1276" w:type="dxa"/>
            <w:vAlign w:val="center"/>
          </w:tcPr>
          <w:p w14:paraId="4E6C2FFF" w14:textId="7A87D751" w:rsidR="0018262B" w:rsidRDefault="00A303EB" w:rsidP="00F77595">
            <w:pPr>
              <w:jc w:val="center"/>
              <w:rPr>
                <w:rFonts w:ascii="Calibri" w:eastAsia="Calibri" w:hAnsi="Calibri" w:cs="Calibri"/>
                <w:sz w:val="20"/>
                <w:szCs w:val="20"/>
              </w:rPr>
            </w:pPr>
            <w:r>
              <w:rPr>
                <w:rFonts w:ascii="Calibri" w:eastAsia="Calibri" w:hAnsi="Calibri" w:cs="Calibri"/>
                <w:sz w:val="20"/>
                <w:szCs w:val="20"/>
              </w:rPr>
              <w:t>50</w:t>
            </w:r>
            <w:r w:rsidR="0018262B">
              <w:rPr>
                <w:rFonts w:ascii="Calibri" w:eastAsia="Calibri" w:hAnsi="Calibri" w:cs="Calibri"/>
                <w:sz w:val="20"/>
                <w:szCs w:val="20"/>
              </w:rPr>
              <w:t>%</w:t>
            </w:r>
          </w:p>
        </w:tc>
        <w:tc>
          <w:tcPr>
            <w:tcW w:w="992" w:type="dxa"/>
            <w:vAlign w:val="center"/>
          </w:tcPr>
          <w:p w14:paraId="277A2C2B" w14:textId="485C42AD" w:rsidR="0018262B" w:rsidRDefault="00A303EB" w:rsidP="00F77595">
            <w:pPr>
              <w:jc w:val="center"/>
              <w:rPr>
                <w:rFonts w:ascii="Calibri" w:eastAsia="Calibri" w:hAnsi="Calibri" w:cs="Calibri"/>
                <w:sz w:val="20"/>
                <w:szCs w:val="20"/>
              </w:rPr>
            </w:pPr>
            <w:r>
              <w:rPr>
                <w:rFonts w:ascii="Calibri" w:eastAsia="Calibri" w:hAnsi="Calibri" w:cs="Calibri"/>
                <w:sz w:val="20"/>
                <w:szCs w:val="20"/>
              </w:rPr>
              <w:t>40</w:t>
            </w:r>
            <w:r w:rsidR="0018262B">
              <w:rPr>
                <w:rFonts w:ascii="Calibri" w:eastAsia="Calibri" w:hAnsi="Calibri" w:cs="Calibri"/>
                <w:sz w:val="20"/>
                <w:szCs w:val="20"/>
              </w:rPr>
              <w:t>%</w:t>
            </w:r>
          </w:p>
        </w:tc>
        <w:tc>
          <w:tcPr>
            <w:tcW w:w="993" w:type="dxa"/>
            <w:vAlign w:val="center"/>
          </w:tcPr>
          <w:p w14:paraId="14FD41FE" w14:textId="1676B141" w:rsidR="0018262B" w:rsidRPr="002D66B7" w:rsidRDefault="00A303EB" w:rsidP="00F77595">
            <w:pPr>
              <w:jc w:val="center"/>
              <w:rPr>
                <w:rFonts w:ascii="Calibri" w:eastAsia="Calibri" w:hAnsi="Calibri" w:cs="Calibri"/>
                <w:sz w:val="20"/>
                <w:szCs w:val="20"/>
              </w:rPr>
            </w:pPr>
            <w:r>
              <w:rPr>
                <w:rFonts w:ascii="Calibri" w:eastAsia="Calibri" w:hAnsi="Calibri" w:cs="Calibri"/>
                <w:sz w:val="20"/>
                <w:szCs w:val="20"/>
              </w:rPr>
              <w:t>30</w:t>
            </w:r>
            <w:r w:rsidR="0018262B" w:rsidRPr="002D66B7">
              <w:rPr>
                <w:rFonts w:ascii="Calibri" w:eastAsia="Calibri" w:hAnsi="Calibri" w:cs="Calibri"/>
                <w:sz w:val="20"/>
                <w:szCs w:val="20"/>
              </w:rPr>
              <w:t>%</w:t>
            </w:r>
          </w:p>
        </w:tc>
      </w:tr>
      <w:tr w:rsidR="0018262B" w:rsidRPr="00D2095B" w14:paraId="25965318" w14:textId="77777777" w:rsidTr="0018262B">
        <w:tc>
          <w:tcPr>
            <w:tcW w:w="1555" w:type="dxa"/>
          </w:tcPr>
          <w:p w14:paraId="7B699480" w14:textId="77777777" w:rsidR="0018262B" w:rsidRPr="002D66B7" w:rsidRDefault="0018262B" w:rsidP="00F77595">
            <w:pPr>
              <w:rPr>
                <w:rFonts w:ascii="Calibri" w:eastAsia="Calibri" w:hAnsi="Calibri" w:cs="Calibri"/>
                <w:sz w:val="20"/>
                <w:szCs w:val="20"/>
              </w:rPr>
            </w:pPr>
            <w:r w:rsidRPr="00313E0F">
              <w:rPr>
                <w:rFonts w:ascii="Calibri" w:eastAsia="Calibri" w:hAnsi="Calibri" w:cs="Calibri"/>
                <w:sz w:val="20"/>
                <w:szCs w:val="20"/>
              </w:rPr>
              <w:t>M</w:t>
            </w:r>
            <w:r w:rsidRPr="002D66B7">
              <w:rPr>
                <w:rFonts w:ascii="Calibri" w:eastAsia="Calibri" w:hAnsi="Calibri" w:cs="Calibri"/>
                <w:sz w:val="20"/>
                <w:szCs w:val="20"/>
              </w:rPr>
              <w:t>azowieckie</w:t>
            </w:r>
            <w:r w:rsidRPr="00313E0F">
              <w:rPr>
                <w:rFonts w:ascii="Calibri" w:eastAsia="Calibri" w:hAnsi="Calibri" w:cs="Calibri"/>
                <w:sz w:val="20"/>
                <w:szCs w:val="20"/>
              </w:rPr>
              <w:t xml:space="preserve"> </w:t>
            </w:r>
            <w:r w:rsidRPr="00313E0F">
              <w:rPr>
                <w:rFonts w:ascii="Calibri" w:eastAsia="Calibri" w:hAnsi="Calibri" w:cs="Calibri"/>
                <w:color w:val="C00000"/>
                <w:sz w:val="20"/>
                <w:szCs w:val="20"/>
              </w:rPr>
              <w:t>(poza obszar</w:t>
            </w:r>
            <w:r>
              <w:rPr>
                <w:rFonts w:ascii="Calibri" w:eastAsia="Calibri" w:hAnsi="Calibri" w:cs="Calibri"/>
                <w:color w:val="C00000"/>
                <w:sz w:val="20"/>
                <w:szCs w:val="20"/>
              </w:rPr>
              <w:t>ami</w:t>
            </w:r>
            <w:r w:rsidRPr="00313E0F">
              <w:rPr>
                <w:rFonts w:ascii="Calibri" w:eastAsia="Calibri" w:hAnsi="Calibri" w:cs="Calibri"/>
                <w:color w:val="C00000"/>
                <w:sz w:val="20"/>
                <w:szCs w:val="20"/>
              </w:rPr>
              <w:t xml:space="preserve"> „a” i „c”)</w:t>
            </w:r>
          </w:p>
        </w:tc>
        <w:tc>
          <w:tcPr>
            <w:tcW w:w="4677" w:type="dxa"/>
            <w:gridSpan w:val="3"/>
          </w:tcPr>
          <w:p w14:paraId="1C72F21B" w14:textId="77777777" w:rsidR="0018262B" w:rsidRDefault="0018262B" w:rsidP="00941ED8">
            <w:pPr>
              <w:numPr>
                <w:ilvl w:val="0"/>
                <w:numId w:val="12"/>
              </w:numPr>
              <w:ind w:left="313" w:hanging="142"/>
              <w:rPr>
                <w:rFonts w:ascii="Calibri" w:eastAsia="Calibri" w:hAnsi="Calibri" w:cs="Calibri"/>
                <w:sz w:val="20"/>
                <w:szCs w:val="20"/>
              </w:rPr>
            </w:pPr>
            <w:r>
              <w:rPr>
                <w:rFonts w:ascii="Calibri" w:eastAsia="Calibri" w:hAnsi="Calibri" w:cs="Calibri"/>
                <w:sz w:val="20"/>
                <w:szCs w:val="20"/>
              </w:rPr>
              <w:t xml:space="preserve">m. st. </w:t>
            </w:r>
            <w:r w:rsidRPr="002D66B7">
              <w:rPr>
                <w:rFonts w:ascii="Calibri" w:eastAsia="Calibri" w:hAnsi="Calibri" w:cs="Calibri"/>
                <w:sz w:val="20"/>
                <w:szCs w:val="20"/>
              </w:rPr>
              <w:t>Warszawa</w:t>
            </w:r>
            <w:r>
              <w:rPr>
                <w:rFonts w:ascii="Calibri" w:eastAsia="Calibri" w:hAnsi="Calibri" w:cs="Calibri"/>
                <w:sz w:val="20"/>
                <w:szCs w:val="20"/>
              </w:rPr>
              <w:t>,</w:t>
            </w:r>
          </w:p>
          <w:p w14:paraId="00BEB62D" w14:textId="77777777" w:rsidR="0018262B" w:rsidRPr="002D66B7" w:rsidRDefault="0018262B" w:rsidP="00941ED8">
            <w:pPr>
              <w:numPr>
                <w:ilvl w:val="0"/>
                <w:numId w:val="12"/>
              </w:numPr>
              <w:ind w:left="313" w:hanging="142"/>
              <w:rPr>
                <w:rFonts w:ascii="Calibri" w:eastAsia="Calibri" w:hAnsi="Calibri" w:cs="Calibri"/>
                <w:sz w:val="20"/>
                <w:szCs w:val="20"/>
              </w:rPr>
            </w:pPr>
            <w:r w:rsidRPr="002D66B7">
              <w:rPr>
                <w:rFonts w:ascii="Calibri" w:eastAsia="Calibri" w:hAnsi="Calibri" w:cs="Calibri"/>
                <w:sz w:val="20"/>
                <w:szCs w:val="20"/>
              </w:rPr>
              <w:t>powiat legionowski (gminy: Legionowo, Jabłonna, Nieporęt, Wieliszew),</w:t>
            </w:r>
          </w:p>
          <w:p w14:paraId="2F5F90F3" w14:textId="77777777" w:rsidR="0018262B" w:rsidRPr="002D66B7" w:rsidRDefault="0018262B" w:rsidP="00941ED8">
            <w:pPr>
              <w:numPr>
                <w:ilvl w:val="0"/>
                <w:numId w:val="12"/>
              </w:numPr>
              <w:ind w:left="313" w:hanging="142"/>
              <w:rPr>
                <w:rFonts w:ascii="Calibri" w:eastAsia="Calibri" w:hAnsi="Calibri" w:cs="Calibri"/>
                <w:sz w:val="20"/>
                <w:szCs w:val="20"/>
              </w:rPr>
            </w:pPr>
            <w:r w:rsidRPr="002D66B7">
              <w:rPr>
                <w:rFonts w:ascii="Calibri" w:eastAsia="Calibri" w:hAnsi="Calibri" w:cs="Calibri"/>
                <w:sz w:val="20"/>
                <w:szCs w:val="20"/>
              </w:rPr>
              <w:t>powiat miński (gminy: Mińsk Mazowiecki, Sulejówek, Cegłów, Dębe Wielkie, Halinów, Jakubów, Stanisławów),</w:t>
            </w:r>
          </w:p>
          <w:p w14:paraId="00488164" w14:textId="77777777" w:rsidR="0018262B" w:rsidRPr="002D66B7" w:rsidRDefault="0018262B" w:rsidP="00941ED8">
            <w:pPr>
              <w:numPr>
                <w:ilvl w:val="0"/>
                <w:numId w:val="12"/>
              </w:numPr>
              <w:ind w:left="313" w:hanging="142"/>
              <w:rPr>
                <w:rFonts w:ascii="Calibri" w:eastAsia="Calibri" w:hAnsi="Calibri" w:cs="Calibri"/>
                <w:sz w:val="20"/>
                <w:szCs w:val="20"/>
              </w:rPr>
            </w:pPr>
            <w:r w:rsidRPr="002D66B7">
              <w:rPr>
                <w:rFonts w:ascii="Calibri" w:eastAsia="Calibri" w:hAnsi="Calibri" w:cs="Calibri"/>
                <w:sz w:val="20"/>
                <w:szCs w:val="20"/>
              </w:rPr>
              <w:t>powiat otwocki (gminy: Józefów, Otwock, Celestynów, Karczew, Wiązowna),</w:t>
            </w:r>
          </w:p>
          <w:p w14:paraId="78988066" w14:textId="77777777" w:rsidR="0018262B" w:rsidRPr="002D66B7" w:rsidRDefault="0018262B" w:rsidP="00941ED8">
            <w:pPr>
              <w:numPr>
                <w:ilvl w:val="0"/>
                <w:numId w:val="12"/>
              </w:numPr>
              <w:ind w:left="313" w:hanging="142"/>
              <w:rPr>
                <w:rFonts w:ascii="Calibri" w:eastAsia="Calibri" w:hAnsi="Calibri" w:cs="Calibri"/>
                <w:sz w:val="20"/>
                <w:szCs w:val="20"/>
              </w:rPr>
            </w:pPr>
            <w:r w:rsidRPr="002D66B7">
              <w:rPr>
                <w:rFonts w:ascii="Calibri" w:eastAsia="Calibri" w:hAnsi="Calibri" w:cs="Calibri"/>
                <w:sz w:val="20"/>
                <w:szCs w:val="20"/>
              </w:rPr>
              <w:t>powiat wołomiński (gminy: Kobyłka, Marki, Ząbki, Zielonka, Klembów, Poświętne, Radzymin, Wołomin),</w:t>
            </w:r>
          </w:p>
          <w:p w14:paraId="0D82D1EB" w14:textId="77777777" w:rsidR="0018262B" w:rsidRPr="002D66B7" w:rsidRDefault="0018262B" w:rsidP="00941ED8">
            <w:pPr>
              <w:numPr>
                <w:ilvl w:val="0"/>
                <w:numId w:val="12"/>
              </w:numPr>
              <w:ind w:left="313" w:hanging="142"/>
              <w:rPr>
                <w:rFonts w:ascii="Calibri" w:eastAsia="Calibri" w:hAnsi="Calibri" w:cs="Calibri"/>
                <w:sz w:val="20"/>
                <w:szCs w:val="20"/>
              </w:rPr>
            </w:pPr>
            <w:r w:rsidRPr="002D66B7">
              <w:rPr>
                <w:rFonts w:ascii="Calibri" w:eastAsia="Calibri" w:hAnsi="Calibri" w:cs="Calibri"/>
                <w:sz w:val="20"/>
                <w:szCs w:val="20"/>
              </w:rPr>
              <w:t>powiat grodziski (gminy: Milanówek, Podkowa Leśna),</w:t>
            </w:r>
          </w:p>
          <w:p w14:paraId="6EBBCA35" w14:textId="77777777" w:rsidR="0018262B" w:rsidRPr="002D66B7" w:rsidRDefault="0018262B" w:rsidP="00941ED8">
            <w:pPr>
              <w:numPr>
                <w:ilvl w:val="0"/>
                <w:numId w:val="12"/>
              </w:numPr>
              <w:ind w:left="313" w:hanging="142"/>
              <w:rPr>
                <w:rFonts w:ascii="Calibri" w:eastAsia="Calibri" w:hAnsi="Calibri" w:cs="Calibri"/>
                <w:sz w:val="20"/>
                <w:szCs w:val="20"/>
              </w:rPr>
            </w:pPr>
            <w:r w:rsidRPr="002D66B7">
              <w:rPr>
                <w:rFonts w:ascii="Calibri" w:eastAsia="Calibri" w:hAnsi="Calibri" w:cs="Calibri"/>
                <w:sz w:val="20"/>
                <w:szCs w:val="20"/>
              </w:rPr>
              <w:t>powiat nowodworski (gminy: Nowy Dwór Mazowiecki, Czosnów, Pomiechówek),</w:t>
            </w:r>
          </w:p>
          <w:p w14:paraId="3549490B" w14:textId="77777777" w:rsidR="0018262B" w:rsidRPr="002D66B7" w:rsidRDefault="0018262B" w:rsidP="00941ED8">
            <w:pPr>
              <w:numPr>
                <w:ilvl w:val="0"/>
                <w:numId w:val="12"/>
              </w:numPr>
              <w:ind w:left="313" w:hanging="142"/>
              <w:rPr>
                <w:rFonts w:ascii="Calibri" w:eastAsia="Calibri" w:hAnsi="Calibri" w:cs="Calibri"/>
                <w:sz w:val="20"/>
                <w:szCs w:val="20"/>
              </w:rPr>
            </w:pPr>
            <w:r w:rsidRPr="002D66B7">
              <w:rPr>
                <w:rFonts w:ascii="Calibri" w:eastAsia="Calibri" w:hAnsi="Calibri" w:cs="Calibri"/>
                <w:sz w:val="20"/>
                <w:szCs w:val="20"/>
              </w:rPr>
              <w:t>powiat piaseczyński (gminy: Konstancin-Jeziorna, Lesznowola, Piaseczno),</w:t>
            </w:r>
          </w:p>
          <w:p w14:paraId="5783F327" w14:textId="77777777" w:rsidR="0018262B" w:rsidRDefault="0018262B" w:rsidP="00941ED8">
            <w:pPr>
              <w:numPr>
                <w:ilvl w:val="0"/>
                <w:numId w:val="12"/>
              </w:numPr>
              <w:ind w:left="313" w:hanging="142"/>
              <w:rPr>
                <w:rFonts w:ascii="Calibri" w:eastAsia="Calibri" w:hAnsi="Calibri" w:cs="Calibri"/>
                <w:sz w:val="20"/>
                <w:szCs w:val="20"/>
              </w:rPr>
            </w:pPr>
            <w:r w:rsidRPr="002D66B7">
              <w:rPr>
                <w:rFonts w:ascii="Calibri" w:eastAsia="Calibri" w:hAnsi="Calibri" w:cs="Calibri"/>
                <w:sz w:val="20"/>
                <w:szCs w:val="20"/>
              </w:rPr>
              <w:t>powiat warszawski zachodni (gminy: Izabelin, Łomianki, Ożarów Mazowiecki, Stare Babice),</w:t>
            </w:r>
          </w:p>
          <w:p w14:paraId="7C13F5EE" w14:textId="77777777" w:rsidR="0018262B" w:rsidRPr="00A53119" w:rsidRDefault="0018262B" w:rsidP="00941ED8">
            <w:pPr>
              <w:numPr>
                <w:ilvl w:val="0"/>
                <w:numId w:val="12"/>
              </w:numPr>
              <w:ind w:left="313" w:hanging="142"/>
              <w:rPr>
                <w:rFonts w:ascii="Calibri" w:eastAsia="Calibri" w:hAnsi="Calibri" w:cs="Calibri"/>
                <w:sz w:val="20"/>
                <w:szCs w:val="20"/>
              </w:rPr>
            </w:pPr>
            <w:r w:rsidRPr="002D66B7">
              <w:rPr>
                <w:rFonts w:ascii="Calibri" w:eastAsia="Calibri" w:hAnsi="Calibri" w:cs="Calibri"/>
                <w:sz w:val="20"/>
                <w:szCs w:val="20"/>
              </w:rPr>
              <w:t>powiat pruszkowski (cały).</w:t>
            </w:r>
          </w:p>
        </w:tc>
        <w:tc>
          <w:tcPr>
            <w:tcW w:w="1276" w:type="dxa"/>
            <w:vAlign w:val="center"/>
          </w:tcPr>
          <w:p w14:paraId="24CEB8B4" w14:textId="77777777" w:rsidR="0018262B" w:rsidRDefault="0018262B" w:rsidP="00F77595">
            <w:pPr>
              <w:jc w:val="center"/>
              <w:rPr>
                <w:rFonts w:ascii="Calibri" w:eastAsia="Calibri" w:hAnsi="Calibri" w:cs="Calibri"/>
                <w:sz w:val="20"/>
                <w:szCs w:val="20"/>
              </w:rPr>
            </w:pPr>
            <w:r>
              <w:rPr>
                <w:rFonts w:ascii="Calibri" w:eastAsia="Calibri" w:hAnsi="Calibri" w:cs="Calibri"/>
                <w:sz w:val="20"/>
                <w:szCs w:val="20"/>
              </w:rPr>
              <w:t>0%</w:t>
            </w:r>
          </w:p>
        </w:tc>
        <w:tc>
          <w:tcPr>
            <w:tcW w:w="992" w:type="dxa"/>
            <w:vAlign w:val="center"/>
          </w:tcPr>
          <w:p w14:paraId="29909401" w14:textId="77777777" w:rsidR="0018262B" w:rsidRDefault="0018262B" w:rsidP="00F77595">
            <w:pPr>
              <w:jc w:val="center"/>
              <w:rPr>
                <w:rFonts w:ascii="Calibri" w:eastAsia="Calibri" w:hAnsi="Calibri" w:cs="Calibri"/>
                <w:sz w:val="20"/>
                <w:szCs w:val="20"/>
              </w:rPr>
            </w:pPr>
            <w:r>
              <w:rPr>
                <w:rFonts w:ascii="Calibri" w:eastAsia="Calibri" w:hAnsi="Calibri" w:cs="Calibri"/>
                <w:sz w:val="20"/>
                <w:szCs w:val="20"/>
              </w:rPr>
              <w:t>0%</w:t>
            </w:r>
          </w:p>
        </w:tc>
        <w:tc>
          <w:tcPr>
            <w:tcW w:w="993" w:type="dxa"/>
            <w:vAlign w:val="center"/>
          </w:tcPr>
          <w:p w14:paraId="2A8AB033" w14:textId="77777777" w:rsidR="0018262B" w:rsidRPr="002D66B7" w:rsidRDefault="0018262B" w:rsidP="00F77595">
            <w:pPr>
              <w:jc w:val="center"/>
              <w:rPr>
                <w:rFonts w:ascii="Calibri" w:eastAsia="Calibri" w:hAnsi="Calibri" w:cs="Calibri"/>
                <w:sz w:val="20"/>
                <w:szCs w:val="20"/>
              </w:rPr>
            </w:pPr>
            <w:r w:rsidRPr="002D66B7">
              <w:rPr>
                <w:rFonts w:ascii="Calibri" w:eastAsia="Calibri" w:hAnsi="Calibri" w:cs="Calibri"/>
                <w:sz w:val="20"/>
                <w:szCs w:val="20"/>
              </w:rPr>
              <w:t>0%</w:t>
            </w:r>
          </w:p>
        </w:tc>
      </w:tr>
      <w:bookmarkEnd w:id="610"/>
    </w:tbl>
    <w:p w14:paraId="04B4287A" w14:textId="0E818872" w:rsidR="00743082" w:rsidRPr="0018262B" w:rsidRDefault="00743082" w:rsidP="0018262B">
      <w:pPr>
        <w:rPr>
          <w:sz w:val="24"/>
        </w:rPr>
      </w:pPr>
    </w:p>
    <w:p w14:paraId="4207D25F" w14:textId="77777777" w:rsidR="00743082" w:rsidRPr="00762814" w:rsidRDefault="00743082" w:rsidP="00762814">
      <w:pPr>
        <w:spacing w:after="120" w:line="276" w:lineRule="auto"/>
        <w:rPr>
          <w:rFonts w:cstheme="minorHAnsi"/>
          <w:sz w:val="24"/>
          <w:szCs w:val="24"/>
        </w:rPr>
        <w:sectPr w:rsidR="00743082" w:rsidRPr="00762814" w:rsidSect="00762814">
          <w:headerReference w:type="default"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pPr>
    </w:p>
    <w:p w14:paraId="663522D9" w14:textId="3797308E" w:rsidR="00D72B3D" w:rsidRDefault="00D72B3D" w:rsidP="00D360ED">
      <w:pPr>
        <w:pageBreakBefore/>
        <w:spacing w:after="120" w:line="276" w:lineRule="auto"/>
        <w:rPr>
          <w:rFonts w:cstheme="minorHAnsi"/>
          <w:b/>
          <w:bCs/>
          <w:sz w:val="24"/>
          <w:szCs w:val="24"/>
        </w:rPr>
      </w:pPr>
      <w:r w:rsidRPr="00762814">
        <w:rPr>
          <w:rFonts w:cstheme="minorHAnsi"/>
          <w:b/>
          <w:bCs/>
          <w:sz w:val="24"/>
          <w:szCs w:val="24"/>
        </w:rPr>
        <w:lastRenderedPageBreak/>
        <w:t xml:space="preserve">Tabela nr </w:t>
      </w:r>
      <w:r w:rsidR="00CC00B9">
        <w:rPr>
          <w:rFonts w:cstheme="minorHAnsi"/>
          <w:b/>
          <w:bCs/>
          <w:sz w:val="24"/>
          <w:szCs w:val="24"/>
        </w:rPr>
        <w:t>2</w:t>
      </w:r>
      <w:r w:rsidRPr="00762814">
        <w:rPr>
          <w:rFonts w:cstheme="minorHAnsi"/>
          <w:b/>
          <w:bCs/>
          <w:sz w:val="24"/>
          <w:szCs w:val="24"/>
        </w:rPr>
        <w:t>. Intensywności wsparcia w ramach art. 36-47 rozporządzenia Komisji (UE) nr 651/2014</w:t>
      </w:r>
    </w:p>
    <w:tbl>
      <w:tblPr>
        <w:tblStyle w:val="Tabela-Siatka"/>
        <w:tblW w:w="9493" w:type="dxa"/>
        <w:tblLayout w:type="fixed"/>
        <w:tblCellMar>
          <w:left w:w="57" w:type="dxa"/>
          <w:right w:w="57" w:type="dxa"/>
        </w:tblCellMar>
        <w:tblLook w:val="04A0" w:firstRow="1" w:lastRow="0" w:firstColumn="1" w:lastColumn="0" w:noHBand="0" w:noVBand="1"/>
      </w:tblPr>
      <w:tblGrid>
        <w:gridCol w:w="4673"/>
        <w:gridCol w:w="1559"/>
        <w:gridCol w:w="1701"/>
        <w:gridCol w:w="1560"/>
      </w:tblGrid>
      <w:tr w:rsidR="00E6205D" w:rsidRPr="00A4407D" w14:paraId="5EA37733" w14:textId="77777777" w:rsidTr="00A4407D">
        <w:trPr>
          <w:cantSplit/>
          <w:trHeight w:val="529"/>
          <w:tblHeader/>
        </w:trPr>
        <w:tc>
          <w:tcPr>
            <w:tcW w:w="4673" w:type="dxa"/>
            <w:shd w:val="clear" w:color="auto" w:fill="D9E2F3" w:themeFill="accent1" w:themeFillTint="33"/>
            <w:vAlign w:val="center"/>
          </w:tcPr>
          <w:p w14:paraId="1F86B980" w14:textId="77777777" w:rsidR="00D72B3D" w:rsidRPr="00A4407D" w:rsidRDefault="00D72B3D" w:rsidP="00A4407D">
            <w:pPr>
              <w:spacing w:line="276" w:lineRule="auto"/>
              <w:jc w:val="center"/>
              <w:rPr>
                <w:rFonts w:cstheme="minorHAnsi"/>
                <w:b/>
                <w:sz w:val="20"/>
                <w:szCs w:val="20"/>
              </w:rPr>
            </w:pPr>
            <w:r w:rsidRPr="00A4407D">
              <w:rPr>
                <w:rFonts w:cstheme="minorHAnsi"/>
                <w:b/>
                <w:sz w:val="20"/>
                <w:szCs w:val="20"/>
              </w:rPr>
              <w:t>Lokalizacja</w:t>
            </w:r>
          </w:p>
        </w:tc>
        <w:tc>
          <w:tcPr>
            <w:tcW w:w="1559" w:type="dxa"/>
            <w:shd w:val="clear" w:color="auto" w:fill="D9E2F3" w:themeFill="accent1" w:themeFillTint="33"/>
            <w:vAlign w:val="center"/>
          </w:tcPr>
          <w:p w14:paraId="0E871A33" w14:textId="77777777" w:rsidR="00D72B3D" w:rsidRPr="00A4407D" w:rsidRDefault="00D72B3D" w:rsidP="00A4407D">
            <w:pPr>
              <w:spacing w:line="276" w:lineRule="auto"/>
              <w:jc w:val="center"/>
              <w:rPr>
                <w:rFonts w:cstheme="minorHAnsi"/>
                <w:b/>
                <w:sz w:val="20"/>
                <w:szCs w:val="20"/>
              </w:rPr>
            </w:pPr>
            <w:r w:rsidRPr="00A4407D">
              <w:rPr>
                <w:rFonts w:cstheme="minorHAnsi"/>
                <w:b/>
                <w:sz w:val="20"/>
                <w:szCs w:val="20"/>
              </w:rPr>
              <w:t>Przedsiębiorstwa duże</w:t>
            </w:r>
          </w:p>
        </w:tc>
        <w:tc>
          <w:tcPr>
            <w:tcW w:w="1701" w:type="dxa"/>
            <w:shd w:val="clear" w:color="auto" w:fill="D9E2F3" w:themeFill="accent1" w:themeFillTint="33"/>
            <w:vAlign w:val="center"/>
          </w:tcPr>
          <w:p w14:paraId="7004E0EE" w14:textId="77777777" w:rsidR="00D72B3D" w:rsidRPr="00A4407D" w:rsidRDefault="00D72B3D" w:rsidP="00A4407D">
            <w:pPr>
              <w:spacing w:line="276" w:lineRule="auto"/>
              <w:jc w:val="center"/>
              <w:rPr>
                <w:rFonts w:cstheme="minorHAnsi"/>
                <w:b/>
                <w:sz w:val="20"/>
                <w:szCs w:val="20"/>
              </w:rPr>
            </w:pPr>
            <w:r w:rsidRPr="00A4407D">
              <w:rPr>
                <w:rFonts w:cstheme="minorHAnsi"/>
                <w:b/>
                <w:sz w:val="20"/>
                <w:szCs w:val="20"/>
              </w:rPr>
              <w:t>Przedsiębiorstwa średnie</w:t>
            </w:r>
          </w:p>
        </w:tc>
        <w:tc>
          <w:tcPr>
            <w:tcW w:w="1560" w:type="dxa"/>
            <w:shd w:val="clear" w:color="auto" w:fill="D9E2F3" w:themeFill="accent1" w:themeFillTint="33"/>
            <w:vAlign w:val="center"/>
          </w:tcPr>
          <w:p w14:paraId="0635F277" w14:textId="77777777" w:rsidR="00D72B3D" w:rsidRPr="00A4407D" w:rsidRDefault="00D72B3D" w:rsidP="00A4407D">
            <w:pPr>
              <w:spacing w:line="276" w:lineRule="auto"/>
              <w:jc w:val="center"/>
              <w:rPr>
                <w:rFonts w:cstheme="minorHAnsi"/>
                <w:b/>
                <w:sz w:val="20"/>
                <w:szCs w:val="20"/>
              </w:rPr>
            </w:pPr>
            <w:r w:rsidRPr="00A4407D">
              <w:rPr>
                <w:rFonts w:cstheme="minorHAnsi"/>
                <w:b/>
                <w:sz w:val="20"/>
                <w:szCs w:val="20"/>
              </w:rPr>
              <w:t>Przedsiębiorstwa mikro i małe</w:t>
            </w:r>
          </w:p>
        </w:tc>
      </w:tr>
      <w:tr w:rsidR="00D72B3D" w:rsidRPr="00A4407D" w14:paraId="46650F6D" w14:textId="77777777" w:rsidTr="00A4407D">
        <w:trPr>
          <w:trHeight w:val="564"/>
        </w:trPr>
        <w:tc>
          <w:tcPr>
            <w:tcW w:w="9493" w:type="dxa"/>
            <w:gridSpan w:val="4"/>
            <w:shd w:val="clear" w:color="auto" w:fill="D9E2F3" w:themeFill="accent1" w:themeFillTint="33"/>
            <w:vAlign w:val="center"/>
          </w:tcPr>
          <w:p w14:paraId="4020D3AB" w14:textId="3647B849" w:rsidR="00D72B3D" w:rsidRPr="00A4407D" w:rsidRDefault="00D72B3D" w:rsidP="00941ED8">
            <w:pPr>
              <w:pStyle w:val="Bezodstpw"/>
              <w:numPr>
                <w:ilvl w:val="2"/>
                <w:numId w:val="3"/>
              </w:numPr>
              <w:spacing w:line="276" w:lineRule="auto"/>
              <w:ind w:left="311" w:hanging="284"/>
              <w:rPr>
                <w:b/>
                <w:sz w:val="20"/>
                <w:szCs w:val="20"/>
              </w:rPr>
            </w:pPr>
            <w:r w:rsidRPr="00A4407D">
              <w:rPr>
                <w:rFonts w:cstheme="minorHAnsi"/>
                <w:b/>
                <w:sz w:val="20"/>
                <w:szCs w:val="20"/>
                <w:lang w:eastAsia="pl-PL"/>
              </w:rPr>
              <w:t>Art. 36</w:t>
            </w:r>
            <w:r w:rsidRPr="00A4407D">
              <w:rPr>
                <w:b/>
                <w:sz w:val="20"/>
                <w:szCs w:val="20"/>
              </w:rPr>
              <w:t xml:space="preserve"> rozporządzenia Komisji (UE) nr 651/2014</w:t>
            </w:r>
            <w:r w:rsidRPr="00A4407D">
              <w:rPr>
                <w:rFonts w:cstheme="minorHAnsi"/>
                <w:bCs/>
                <w:sz w:val="20"/>
                <w:szCs w:val="20"/>
              </w:rPr>
              <w:t xml:space="preserve"> -</w:t>
            </w:r>
            <w:r w:rsidRPr="00A4407D">
              <w:rPr>
                <w:rFonts w:cstheme="minorHAnsi"/>
                <w:b/>
                <w:sz w:val="20"/>
                <w:szCs w:val="20"/>
                <w:lang w:eastAsia="pl-PL"/>
              </w:rPr>
              <w:t xml:space="preserve">Pomoc inwestycyjna na ochronę środowiska, w tym obniżenie emisyjności </w:t>
            </w:r>
            <w:r w:rsidRPr="00A4407D">
              <w:rPr>
                <w:rFonts w:cstheme="minorHAnsi"/>
                <w:sz w:val="20"/>
                <w:szCs w:val="20"/>
                <w:lang w:eastAsia="pl-PL"/>
              </w:rPr>
              <w:t>(w przypadku kategorii wydatku 7.3.</w:t>
            </w:r>
            <w:r w:rsidR="006663A6">
              <w:rPr>
                <w:rFonts w:cstheme="minorHAnsi"/>
                <w:sz w:val="20"/>
                <w:szCs w:val="20"/>
                <w:lang w:eastAsia="pl-PL"/>
              </w:rPr>
              <w:t>1</w:t>
            </w:r>
            <w:r w:rsidR="000A61C9">
              <w:rPr>
                <w:rFonts w:cstheme="minorHAnsi"/>
                <w:sz w:val="20"/>
                <w:szCs w:val="20"/>
                <w:lang w:eastAsia="pl-PL"/>
              </w:rPr>
              <w:t xml:space="preserve"> pkt 1), 2) oraz 4)</w:t>
            </w:r>
            <w:r w:rsidRPr="00A4407D">
              <w:rPr>
                <w:rFonts w:cstheme="minorHAnsi"/>
                <w:sz w:val="20"/>
                <w:szCs w:val="20"/>
                <w:lang w:eastAsia="pl-PL"/>
              </w:rPr>
              <w:t xml:space="preserve">  zastosuj intensywności z lit. a)</w:t>
            </w:r>
            <w:r w:rsidR="002F3B21">
              <w:rPr>
                <w:rFonts w:cstheme="minorHAnsi"/>
                <w:sz w:val="20"/>
                <w:szCs w:val="20"/>
                <w:lang w:eastAsia="pl-PL"/>
              </w:rPr>
              <w:t xml:space="preserve"> lub</w:t>
            </w:r>
            <w:r w:rsidRPr="00A4407D">
              <w:rPr>
                <w:rFonts w:cstheme="minorHAnsi"/>
                <w:sz w:val="20"/>
                <w:szCs w:val="20"/>
                <w:lang w:eastAsia="pl-PL"/>
              </w:rPr>
              <w:t xml:space="preserve"> b), natomiast w przypadku kategorii wydatku 7.3.</w:t>
            </w:r>
            <w:r w:rsidR="000A61C9">
              <w:rPr>
                <w:rFonts w:cstheme="minorHAnsi"/>
                <w:sz w:val="20"/>
                <w:szCs w:val="20"/>
                <w:lang w:eastAsia="pl-PL"/>
              </w:rPr>
              <w:t>1 pkt 3)</w:t>
            </w:r>
            <w:r w:rsidR="002F3B21" w:rsidRPr="00A4407D">
              <w:rPr>
                <w:rFonts w:cstheme="minorHAnsi"/>
                <w:sz w:val="20"/>
                <w:szCs w:val="20"/>
                <w:lang w:eastAsia="pl-PL"/>
              </w:rPr>
              <w:t xml:space="preserve"> </w:t>
            </w:r>
            <w:r w:rsidRPr="00A4407D">
              <w:rPr>
                <w:rFonts w:cstheme="minorHAnsi"/>
                <w:i/>
                <w:sz w:val="20"/>
                <w:szCs w:val="20"/>
                <w:lang w:eastAsia="pl-PL"/>
              </w:rPr>
              <w:t>Ochrona środowiska - całkowite</w:t>
            </w:r>
            <w:r w:rsidRPr="00A4407D">
              <w:rPr>
                <w:i/>
                <w:sz w:val="20"/>
                <w:szCs w:val="20"/>
              </w:rPr>
              <w:t xml:space="preserve"> koszty inwestycji</w:t>
            </w:r>
            <w:r w:rsidRPr="00A4407D">
              <w:rPr>
                <w:rFonts w:cstheme="minorHAnsi"/>
                <w:i/>
                <w:sz w:val="20"/>
                <w:szCs w:val="20"/>
                <w:lang w:eastAsia="pl-PL"/>
              </w:rPr>
              <w:t xml:space="preserve"> (obniżona intensywność pomocy)</w:t>
            </w:r>
            <w:r w:rsidRPr="00A4407D">
              <w:rPr>
                <w:rFonts w:cstheme="minorHAnsi"/>
                <w:sz w:val="20"/>
                <w:szCs w:val="20"/>
                <w:lang w:eastAsia="pl-PL"/>
              </w:rPr>
              <w:t xml:space="preserve"> wskazane w lit. </w:t>
            </w:r>
            <w:r w:rsidR="002F3B21">
              <w:rPr>
                <w:rFonts w:cstheme="minorHAnsi"/>
                <w:sz w:val="20"/>
                <w:szCs w:val="20"/>
                <w:lang w:eastAsia="pl-PL"/>
              </w:rPr>
              <w:t>a</w:t>
            </w:r>
            <w:r w:rsidRPr="00A4407D">
              <w:rPr>
                <w:rFonts w:cstheme="minorHAnsi"/>
                <w:sz w:val="20"/>
                <w:szCs w:val="20"/>
                <w:lang w:eastAsia="pl-PL"/>
              </w:rPr>
              <w:t xml:space="preserve">) i </w:t>
            </w:r>
            <w:r w:rsidR="002F3B21">
              <w:rPr>
                <w:rFonts w:cstheme="minorHAnsi"/>
                <w:sz w:val="20"/>
                <w:szCs w:val="20"/>
                <w:lang w:eastAsia="pl-PL"/>
              </w:rPr>
              <w:t>b</w:t>
            </w:r>
            <w:r w:rsidRPr="00A4407D">
              <w:rPr>
                <w:rFonts w:cstheme="minorHAnsi"/>
                <w:sz w:val="20"/>
                <w:szCs w:val="20"/>
                <w:lang w:eastAsia="pl-PL"/>
              </w:rPr>
              <w:t xml:space="preserve">) poniżej maksymalne intensywności pomocy publicznej </w:t>
            </w:r>
            <w:r w:rsidRPr="00A4407D">
              <w:rPr>
                <w:rFonts w:cstheme="minorHAnsi"/>
                <w:bCs/>
                <w:sz w:val="20"/>
                <w:szCs w:val="20"/>
                <w:lang w:eastAsia="pl-PL"/>
              </w:rPr>
              <w:t xml:space="preserve">należy </w:t>
            </w:r>
            <w:r w:rsidRPr="00A4407D">
              <w:rPr>
                <w:rFonts w:cstheme="minorHAnsi"/>
                <w:sz w:val="20"/>
                <w:szCs w:val="20"/>
                <w:lang w:eastAsia="pl-PL"/>
              </w:rPr>
              <w:t>zmniejszyć o 50%</w:t>
            </w:r>
          </w:p>
        </w:tc>
      </w:tr>
      <w:tr w:rsidR="00D72B3D" w:rsidRPr="00A4407D" w14:paraId="58BF25DC" w14:textId="77777777" w:rsidTr="00A4407D">
        <w:trPr>
          <w:trHeight w:val="612"/>
        </w:trPr>
        <w:tc>
          <w:tcPr>
            <w:tcW w:w="9493" w:type="dxa"/>
            <w:gridSpan w:val="4"/>
            <w:tcBorders>
              <w:bottom w:val="single" w:sz="4" w:space="0" w:color="auto"/>
            </w:tcBorders>
            <w:shd w:val="clear" w:color="auto" w:fill="D9E2F3" w:themeFill="accent1" w:themeFillTint="33"/>
            <w:vAlign w:val="center"/>
          </w:tcPr>
          <w:p w14:paraId="700DB3FF" w14:textId="285544E6" w:rsidR="00D72B3D" w:rsidRPr="00A4407D" w:rsidRDefault="00D72B3D" w:rsidP="00941ED8">
            <w:pPr>
              <w:pStyle w:val="Bezodstpw"/>
              <w:numPr>
                <w:ilvl w:val="2"/>
                <w:numId w:val="9"/>
              </w:numPr>
              <w:spacing w:line="276" w:lineRule="auto"/>
              <w:ind w:left="311" w:hanging="284"/>
              <w:rPr>
                <w:rFonts w:cstheme="minorHAnsi"/>
                <w:sz w:val="20"/>
                <w:szCs w:val="20"/>
              </w:rPr>
            </w:pPr>
            <w:r w:rsidRPr="00A4407D">
              <w:rPr>
                <w:rFonts w:cstheme="minorHAnsi"/>
                <w:b/>
                <w:sz w:val="20"/>
                <w:szCs w:val="20"/>
                <w:lang w:eastAsia="pl-PL"/>
              </w:rPr>
              <w:t>Art. 36</w:t>
            </w:r>
            <w:r w:rsidRPr="00A4407D">
              <w:rPr>
                <w:rFonts w:cstheme="minorHAnsi"/>
                <w:sz w:val="20"/>
                <w:szCs w:val="20"/>
                <w:lang w:eastAsia="pl-PL"/>
              </w:rPr>
              <w:t xml:space="preserve"> </w:t>
            </w:r>
            <w:r w:rsidRPr="00A4407D">
              <w:rPr>
                <w:rFonts w:cstheme="minorHAnsi"/>
                <w:bCs/>
                <w:sz w:val="20"/>
                <w:szCs w:val="20"/>
              </w:rPr>
              <w:t xml:space="preserve">rozporządzenia Komisji (UE) nr 651/2014 - </w:t>
            </w:r>
            <w:r w:rsidRPr="00A4407D">
              <w:rPr>
                <w:rFonts w:cstheme="minorHAnsi"/>
                <w:sz w:val="20"/>
                <w:szCs w:val="20"/>
              </w:rPr>
              <w:t xml:space="preserve">inwestycje prowadzące do pełnej redukcji emisji bezpośrednich, z wyjątkiem inwestycji opartych na wykorzystaniu biomasy </w:t>
            </w:r>
          </w:p>
        </w:tc>
      </w:tr>
      <w:tr w:rsidR="00D72B3D" w:rsidRPr="00A4407D" w14:paraId="1DC14E5C" w14:textId="77777777" w:rsidTr="00A4407D">
        <w:trPr>
          <w:trHeight w:val="371"/>
        </w:trPr>
        <w:tc>
          <w:tcPr>
            <w:tcW w:w="4673" w:type="dxa"/>
            <w:shd w:val="clear" w:color="auto" w:fill="FFFFFF" w:themeFill="background1"/>
            <w:vAlign w:val="center"/>
          </w:tcPr>
          <w:p w14:paraId="381C5C3D" w14:textId="77777777" w:rsidR="00D72B3D" w:rsidRPr="00A4407D" w:rsidRDefault="00D72B3D" w:rsidP="00A4407D">
            <w:pPr>
              <w:pStyle w:val="Bezodstpw"/>
              <w:spacing w:line="276" w:lineRule="auto"/>
              <w:jc w:val="right"/>
              <w:rPr>
                <w:rFonts w:cstheme="minorHAnsi"/>
                <w:b/>
                <w:sz w:val="20"/>
                <w:szCs w:val="20"/>
              </w:rPr>
            </w:pPr>
            <w:r w:rsidRPr="00A4407D">
              <w:rPr>
                <w:rFonts w:cstheme="minorHAnsi"/>
                <w:b/>
                <w:sz w:val="20"/>
                <w:szCs w:val="20"/>
              </w:rPr>
              <w:t>Obszar a*</w:t>
            </w:r>
          </w:p>
        </w:tc>
        <w:tc>
          <w:tcPr>
            <w:tcW w:w="1559" w:type="dxa"/>
            <w:shd w:val="clear" w:color="auto" w:fill="FFFFFF" w:themeFill="background1"/>
            <w:vAlign w:val="center"/>
          </w:tcPr>
          <w:p w14:paraId="330B588B" w14:textId="6A40EB8B" w:rsidR="00D72B3D" w:rsidRPr="00A4407D" w:rsidRDefault="00D72B3D" w:rsidP="00A4407D">
            <w:pPr>
              <w:pStyle w:val="Bezodstpw"/>
              <w:spacing w:line="276" w:lineRule="auto"/>
              <w:jc w:val="center"/>
              <w:rPr>
                <w:b/>
                <w:sz w:val="20"/>
                <w:szCs w:val="20"/>
              </w:rPr>
            </w:pPr>
            <w:r w:rsidRPr="00A4407D">
              <w:rPr>
                <w:rFonts w:cstheme="minorHAnsi"/>
                <w:b/>
                <w:sz w:val="20"/>
                <w:szCs w:val="20"/>
              </w:rPr>
              <w:t>65</w:t>
            </w:r>
            <w:r w:rsidRPr="00A4407D">
              <w:rPr>
                <w:b/>
                <w:sz w:val="20"/>
                <w:szCs w:val="20"/>
              </w:rPr>
              <w:t>%</w:t>
            </w:r>
          </w:p>
        </w:tc>
        <w:tc>
          <w:tcPr>
            <w:tcW w:w="1701" w:type="dxa"/>
            <w:shd w:val="clear" w:color="auto" w:fill="FFFFFF" w:themeFill="background1"/>
            <w:vAlign w:val="center"/>
          </w:tcPr>
          <w:p w14:paraId="555091CE" w14:textId="579911FB" w:rsidR="00D72B3D" w:rsidRPr="00A4407D" w:rsidRDefault="00D72B3D" w:rsidP="00A4407D">
            <w:pPr>
              <w:pStyle w:val="Bezodstpw"/>
              <w:spacing w:line="276" w:lineRule="auto"/>
              <w:jc w:val="center"/>
              <w:rPr>
                <w:b/>
                <w:sz w:val="20"/>
                <w:szCs w:val="20"/>
              </w:rPr>
            </w:pPr>
            <w:r w:rsidRPr="00A4407D">
              <w:rPr>
                <w:rFonts w:cstheme="minorHAnsi"/>
                <w:b/>
                <w:sz w:val="20"/>
                <w:szCs w:val="20"/>
              </w:rPr>
              <w:t>75</w:t>
            </w:r>
            <w:r w:rsidRPr="00A4407D">
              <w:rPr>
                <w:b/>
                <w:sz w:val="20"/>
                <w:szCs w:val="20"/>
              </w:rPr>
              <w:t>%</w:t>
            </w:r>
          </w:p>
        </w:tc>
        <w:tc>
          <w:tcPr>
            <w:tcW w:w="1560" w:type="dxa"/>
            <w:shd w:val="clear" w:color="auto" w:fill="FFFFFF" w:themeFill="background1"/>
            <w:vAlign w:val="center"/>
          </w:tcPr>
          <w:p w14:paraId="0EF6665A" w14:textId="2653A5E6" w:rsidR="00D72B3D" w:rsidRPr="00A4407D" w:rsidRDefault="00D72B3D" w:rsidP="00A4407D">
            <w:pPr>
              <w:pStyle w:val="Bezodstpw"/>
              <w:spacing w:line="276" w:lineRule="auto"/>
              <w:jc w:val="center"/>
              <w:rPr>
                <w:b/>
                <w:sz w:val="20"/>
                <w:szCs w:val="20"/>
              </w:rPr>
            </w:pPr>
            <w:r w:rsidRPr="00A4407D">
              <w:rPr>
                <w:rFonts w:cstheme="minorHAnsi"/>
                <w:b/>
                <w:sz w:val="20"/>
                <w:szCs w:val="20"/>
              </w:rPr>
              <w:t>85</w:t>
            </w:r>
            <w:r w:rsidRPr="00A4407D">
              <w:rPr>
                <w:b/>
                <w:sz w:val="20"/>
                <w:szCs w:val="20"/>
              </w:rPr>
              <w:t>%</w:t>
            </w:r>
          </w:p>
        </w:tc>
      </w:tr>
      <w:tr w:rsidR="00D72B3D" w:rsidRPr="00A4407D" w14:paraId="571B479B" w14:textId="77777777" w:rsidTr="00A4407D">
        <w:trPr>
          <w:trHeight w:val="418"/>
        </w:trPr>
        <w:tc>
          <w:tcPr>
            <w:tcW w:w="4673" w:type="dxa"/>
            <w:shd w:val="clear" w:color="auto" w:fill="FFFFFF" w:themeFill="background1"/>
            <w:vAlign w:val="center"/>
          </w:tcPr>
          <w:p w14:paraId="1BE7D3B9" w14:textId="77777777" w:rsidR="00D72B3D" w:rsidRPr="00A4407D" w:rsidRDefault="00D72B3D" w:rsidP="00A4407D">
            <w:pPr>
              <w:pStyle w:val="Bezodstpw"/>
              <w:spacing w:line="276" w:lineRule="auto"/>
              <w:jc w:val="right"/>
              <w:rPr>
                <w:rFonts w:cstheme="minorHAnsi"/>
                <w:b/>
                <w:sz w:val="20"/>
                <w:szCs w:val="20"/>
              </w:rPr>
            </w:pPr>
            <w:r w:rsidRPr="00A4407D">
              <w:rPr>
                <w:rFonts w:cstheme="minorHAnsi"/>
                <w:b/>
                <w:sz w:val="20"/>
                <w:szCs w:val="20"/>
              </w:rPr>
              <w:t>Obszar c**</w:t>
            </w:r>
          </w:p>
        </w:tc>
        <w:tc>
          <w:tcPr>
            <w:tcW w:w="1559" w:type="dxa"/>
            <w:shd w:val="clear" w:color="auto" w:fill="FFFFFF" w:themeFill="background1"/>
            <w:vAlign w:val="center"/>
          </w:tcPr>
          <w:p w14:paraId="27B231CE" w14:textId="7210289E" w:rsidR="00D72B3D" w:rsidRPr="00A4407D" w:rsidRDefault="00D72B3D" w:rsidP="00A4407D">
            <w:pPr>
              <w:pStyle w:val="Bezodstpw"/>
              <w:spacing w:line="276" w:lineRule="auto"/>
              <w:jc w:val="center"/>
              <w:rPr>
                <w:b/>
                <w:sz w:val="20"/>
                <w:szCs w:val="20"/>
              </w:rPr>
            </w:pPr>
            <w:r w:rsidRPr="00A4407D">
              <w:rPr>
                <w:rFonts w:cstheme="minorHAnsi"/>
                <w:b/>
                <w:sz w:val="20"/>
                <w:szCs w:val="20"/>
              </w:rPr>
              <w:t>55</w:t>
            </w:r>
            <w:r w:rsidRPr="00A4407D">
              <w:rPr>
                <w:b/>
                <w:sz w:val="20"/>
                <w:szCs w:val="20"/>
              </w:rPr>
              <w:t>%</w:t>
            </w:r>
          </w:p>
        </w:tc>
        <w:tc>
          <w:tcPr>
            <w:tcW w:w="1701" w:type="dxa"/>
            <w:shd w:val="clear" w:color="auto" w:fill="FFFFFF" w:themeFill="background1"/>
            <w:vAlign w:val="center"/>
          </w:tcPr>
          <w:p w14:paraId="7A2D7E41" w14:textId="70F31AD9" w:rsidR="00D72B3D" w:rsidRPr="00A4407D" w:rsidRDefault="00D72B3D" w:rsidP="00A4407D">
            <w:pPr>
              <w:pStyle w:val="Bezodstpw"/>
              <w:spacing w:line="276" w:lineRule="auto"/>
              <w:jc w:val="center"/>
              <w:rPr>
                <w:b/>
                <w:sz w:val="20"/>
                <w:szCs w:val="20"/>
              </w:rPr>
            </w:pPr>
            <w:r w:rsidRPr="00A4407D">
              <w:rPr>
                <w:rFonts w:cstheme="minorHAnsi"/>
                <w:b/>
                <w:sz w:val="20"/>
                <w:szCs w:val="20"/>
              </w:rPr>
              <w:t>65</w:t>
            </w:r>
            <w:r w:rsidRPr="00A4407D">
              <w:rPr>
                <w:b/>
                <w:sz w:val="20"/>
                <w:szCs w:val="20"/>
              </w:rPr>
              <w:t>%</w:t>
            </w:r>
          </w:p>
        </w:tc>
        <w:tc>
          <w:tcPr>
            <w:tcW w:w="1560" w:type="dxa"/>
            <w:shd w:val="clear" w:color="auto" w:fill="FFFFFF" w:themeFill="background1"/>
            <w:vAlign w:val="center"/>
          </w:tcPr>
          <w:p w14:paraId="3E517C53" w14:textId="3959F4F0" w:rsidR="00D72B3D" w:rsidRPr="00A4407D" w:rsidRDefault="00D72B3D" w:rsidP="00A4407D">
            <w:pPr>
              <w:pStyle w:val="Bezodstpw"/>
              <w:spacing w:line="276" w:lineRule="auto"/>
              <w:jc w:val="center"/>
              <w:rPr>
                <w:b/>
                <w:sz w:val="20"/>
                <w:szCs w:val="20"/>
              </w:rPr>
            </w:pPr>
            <w:r w:rsidRPr="00A4407D">
              <w:rPr>
                <w:rFonts w:cstheme="minorHAnsi"/>
                <w:b/>
                <w:sz w:val="20"/>
                <w:szCs w:val="20"/>
              </w:rPr>
              <w:t>75</w:t>
            </w:r>
            <w:r w:rsidRPr="00A4407D">
              <w:rPr>
                <w:b/>
                <w:sz w:val="20"/>
                <w:szCs w:val="20"/>
              </w:rPr>
              <w:t>%</w:t>
            </w:r>
          </w:p>
        </w:tc>
      </w:tr>
      <w:tr w:rsidR="00D72B3D" w:rsidRPr="00A4407D" w14:paraId="38C2EB1E" w14:textId="77777777" w:rsidTr="00A4407D">
        <w:trPr>
          <w:trHeight w:val="433"/>
        </w:trPr>
        <w:tc>
          <w:tcPr>
            <w:tcW w:w="4673" w:type="dxa"/>
            <w:shd w:val="clear" w:color="auto" w:fill="FFFFFF" w:themeFill="background1"/>
            <w:vAlign w:val="center"/>
          </w:tcPr>
          <w:p w14:paraId="4C96DBC7" w14:textId="77777777" w:rsidR="00D72B3D" w:rsidRPr="00A4407D" w:rsidRDefault="00D72B3D" w:rsidP="00A4407D">
            <w:pPr>
              <w:pStyle w:val="Bezodstpw"/>
              <w:spacing w:line="276" w:lineRule="auto"/>
              <w:jc w:val="right"/>
              <w:rPr>
                <w:rFonts w:cstheme="minorHAnsi"/>
                <w:b/>
                <w:sz w:val="20"/>
                <w:szCs w:val="20"/>
              </w:rPr>
            </w:pPr>
            <w:r w:rsidRPr="00A4407D">
              <w:rPr>
                <w:rFonts w:cstheme="minorHAnsi"/>
                <w:b/>
                <w:sz w:val="20"/>
                <w:szCs w:val="20"/>
              </w:rPr>
              <w:t>Poza obszarem „a” i „c”***</w:t>
            </w:r>
          </w:p>
        </w:tc>
        <w:tc>
          <w:tcPr>
            <w:tcW w:w="1559" w:type="dxa"/>
            <w:shd w:val="clear" w:color="auto" w:fill="FFFFFF" w:themeFill="background1"/>
            <w:vAlign w:val="center"/>
          </w:tcPr>
          <w:p w14:paraId="527A2C4C" w14:textId="4B1669A3" w:rsidR="00D72B3D" w:rsidRPr="00A4407D" w:rsidRDefault="00D72B3D" w:rsidP="00A4407D">
            <w:pPr>
              <w:pStyle w:val="Bezodstpw"/>
              <w:spacing w:line="276" w:lineRule="auto"/>
              <w:jc w:val="center"/>
              <w:rPr>
                <w:b/>
                <w:sz w:val="20"/>
                <w:szCs w:val="20"/>
              </w:rPr>
            </w:pPr>
            <w:r w:rsidRPr="00A4407D">
              <w:rPr>
                <w:rFonts w:cstheme="minorHAnsi"/>
                <w:b/>
                <w:sz w:val="20"/>
                <w:szCs w:val="20"/>
              </w:rPr>
              <w:t>50</w:t>
            </w:r>
            <w:r w:rsidRPr="00A4407D">
              <w:rPr>
                <w:b/>
                <w:sz w:val="20"/>
                <w:szCs w:val="20"/>
              </w:rPr>
              <w:t>%</w:t>
            </w:r>
          </w:p>
        </w:tc>
        <w:tc>
          <w:tcPr>
            <w:tcW w:w="1701" w:type="dxa"/>
            <w:shd w:val="clear" w:color="auto" w:fill="FFFFFF" w:themeFill="background1"/>
            <w:vAlign w:val="center"/>
          </w:tcPr>
          <w:p w14:paraId="340232A2" w14:textId="35DF72E0" w:rsidR="00D72B3D" w:rsidRPr="00A4407D" w:rsidRDefault="00D72B3D" w:rsidP="00A4407D">
            <w:pPr>
              <w:pStyle w:val="Bezodstpw"/>
              <w:spacing w:line="276" w:lineRule="auto"/>
              <w:jc w:val="center"/>
              <w:rPr>
                <w:b/>
                <w:sz w:val="20"/>
                <w:szCs w:val="20"/>
              </w:rPr>
            </w:pPr>
            <w:r w:rsidRPr="00A4407D">
              <w:rPr>
                <w:rFonts w:cstheme="minorHAnsi"/>
                <w:b/>
                <w:sz w:val="20"/>
                <w:szCs w:val="20"/>
              </w:rPr>
              <w:t>60</w:t>
            </w:r>
            <w:r w:rsidRPr="00A4407D">
              <w:rPr>
                <w:b/>
                <w:sz w:val="20"/>
                <w:szCs w:val="20"/>
              </w:rPr>
              <w:t>%</w:t>
            </w:r>
          </w:p>
        </w:tc>
        <w:tc>
          <w:tcPr>
            <w:tcW w:w="1560" w:type="dxa"/>
            <w:shd w:val="clear" w:color="auto" w:fill="FFFFFF" w:themeFill="background1"/>
            <w:vAlign w:val="center"/>
          </w:tcPr>
          <w:p w14:paraId="535D2E38" w14:textId="5846BAFD" w:rsidR="00D72B3D" w:rsidRPr="00A4407D" w:rsidRDefault="00D72B3D" w:rsidP="00A4407D">
            <w:pPr>
              <w:pStyle w:val="Bezodstpw"/>
              <w:spacing w:line="276" w:lineRule="auto"/>
              <w:jc w:val="center"/>
              <w:rPr>
                <w:b/>
                <w:sz w:val="20"/>
                <w:szCs w:val="20"/>
              </w:rPr>
            </w:pPr>
            <w:r w:rsidRPr="00A4407D">
              <w:rPr>
                <w:rFonts w:cstheme="minorHAnsi"/>
                <w:b/>
                <w:sz w:val="20"/>
                <w:szCs w:val="20"/>
              </w:rPr>
              <w:t>70</w:t>
            </w:r>
            <w:r w:rsidRPr="00A4407D">
              <w:rPr>
                <w:b/>
                <w:sz w:val="20"/>
                <w:szCs w:val="20"/>
              </w:rPr>
              <w:t>%</w:t>
            </w:r>
          </w:p>
        </w:tc>
      </w:tr>
      <w:tr w:rsidR="00D72B3D" w:rsidRPr="00A4407D" w14:paraId="4FF5EC01" w14:textId="77777777" w:rsidTr="00A4407D">
        <w:trPr>
          <w:trHeight w:val="714"/>
        </w:trPr>
        <w:tc>
          <w:tcPr>
            <w:tcW w:w="9493" w:type="dxa"/>
            <w:gridSpan w:val="4"/>
            <w:tcBorders>
              <w:bottom w:val="single" w:sz="4" w:space="0" w:color="auto"/>
            </w:tcBorders>
            <w:shd w:val="clear" w:color="auto" w:fill="D9E2F3" w:themeFill="accent1" w:themeFillTint="33"/>
            <w:vAlign w:val="center"/>
          </w:tcPr>
          <w:p w14:paraId="28C2B065" w14:textId="67182FB9" w:rsidR="00D72B3D" w:rsidRPr="00A4407D" w:rsidRDefault="00D72B3D" w:rsidP="00941ED8">
            <w:pPr>
              <w:pStyle w:val="Bezodstpw"/>
              <w:numPr>
                <w:ilvl w:val="2"/>
                <w:numId w:val="9"/>
              </w:numPr>
              <w:spacing w:line="276" w:lineRule="auto"/>
              <w:ind w:left="311" w:hanging="284"/>
              <w:rPr>
                <w:b/>
                <w:sz w:val="20"/>
                <w:szCs w:val="20"/>
              </w:rPr>
            </w:pPr>
            <w:r w:rsidRPr="00A4407D">
              <w:rPr>
                <w:rFonts w:cstheme="minorHAnsi"/>
                <w:b/>
                <w:sz w:val="20"/>
                <w:szCs w:val="20"/>
                <w:lang w:eastAsia="pl-PL"/>
              </w:rPr>
              <w:t>Art. 36</w:t>
            </w:r>
            <w:r w:rsidRPr="00A4407D">
              <w:rPr>
                <w:rFonts w:cstheme="minorHAnsi"/>
                <w:sz w:val="20"/>
                <w:szCs w:val="20"/>
                <w:lang w:eastAsia="pl-PL"/>
              </w:rPr>
              <w:t xml:space="preserve"> </w:t>
            </w:r>
            <w:r w:rsidRPr="00A4407D">
              <w:rPr>
                <w:rFonts w:cstheme="minorHAnsi"/>
                <w:bCs/>
                <w:sz w:val="20"/>
                <w:szCs w:val="20"/>
              </w:rPr>
              <w:t>rozporządzenia Komisji (UE) nr 651/2014 – inwestycje na ochronę środowiska inne niż wymienione w pkt 1 lit. a)</w:t>
            </w:r>
          </w:p>
        </w:tc>
      </w:tr>
      <w:tr w:rsidR="00D72B3D" w:rsidRPr="00A4407D" w14:paraId="4F5FFA91" w14:textId="77777777" w:rsidTr="00A4407D">
        <w:trPr>
          <w:trHeight w:val="409"/>
        </w:trPr>
        <w:tc>
          <w:tcPr>
            <w:tcW w:w="4673" w:type="dxa"/>
            <w:shd w:val="clear" w:color="auto" w:fill="auto"/>
            <w:vAlign w:val="center"/>
          </w:tcPr>
          <w:p w14:paraId="286BCFFC" w14:textId="77777777" w:rsidR="00D72B3D" w:rsidRPr="00A4407D" w:rsidRDefault="00D72B3D" w:rsidP="00A4407D">
            <w:pPr>
              <w:pStyle w:val="Bezodstpw"/>
              <w:spacing w:line="276" w:lineRule="auto"/>
              <w:jc w:val="right"/>
              <w:rPr>
                <w:rFonts w:cstheme="minorHAnsi"/>
                <w:b/>
                <w:sz w:val="20"/>
                <w:szCs w:val="20"/>
              </w:rPr>
            </w:pPr>
            <w:r w:rsidRPr="00A4407D">
              <w:rPr>
                <w:rFonts w:cstheme="minorHAnsi"/>
                <w:b/>
                <w:sz w:val="20"/>
                <w:szCs w:val="20"/>
              </w:rPr>
              <w:t>Obszar a*</w:t>
            </w:r>
          </w:p>
        </w:tc>
        <w:tc>
          <w:tcPr>
            <w:tcW w:w="1559" w:type="dxa"/>
            <w:shd w:val="clear" w:color="auto" w:fill="auto"/>
            <w:vAlign w:val="center"/>
          </w:tcPr>
          <w:p w14:paraId="4B16C66C" w14:textId="3E9D38D6" w:rsidR="00D72B3D" w:rsidRPr="00A4407D" w:rsidRDefault="00D72B3D" w:rsidP="00A4407D">
            <w:pPr>
              <w:pStyle w:val="Bezodstpw"/>
              <w:spacing w:line="276" w:lineRule="auto"/>
              <w:jc w:val="center"/>
              <w:rPr>
                <w:b/>
                <w:sz w:val="20"/>
                <w:szCs w:val="20"/>
              </w:rPr>
            </w:pPr>
            <w:r w:rsidRPr="00A4407D">
              <w:rPr>
                <w:rFonts w:cstheme="minorHAnsi"/>
                <w:b/>
                <w:sz w:val="20"/>
                <w:szCs w:val="20"/>
              </w:rPr>
              <w:t>55</w:t>
            </w:r>
            <w:r w:rsidRPr="00A4407D">
              <w:rPr>
                <w:b/>
                <w:sz w:val="20"/>
                <w:szCs w:val="20"/>
              </w:rPr>
              <w:t>%</w:t>
            </w:r>
          </w:p>
        </w:tc>
        <w:tc>
          <w:tcPr>
            <w:tcW w:w="1701" w:type="dxa"/>
            <w:shd w:val="clear" w:color="auto" w:fill="auto"/>
            <w:vAlign w:val="center"/>
          </w:tcPr>
          <w:p w14:paraId="43C6E8D6" w14:textId="309A2DC7" w:rsidR="00D72B3D" w:rsidRPr="00A4407D" w:rsidRDefault="00D72B3D" w:rsidP="00A4407D">
            <w:pPr>
              <w:pStyle w:val="Bezodstpw"/>
              <w:spacing w:line="276" w:lineRule="auto"/>
              <w:jc w:val="center"/>
              <w:rPr>
                <w:b/>
                <w:sz w:val="20"/>
                <w:szCs w:val="20"/>
              </w:rPr>
            </w:pPr>
            <w:r w:rsidRPr="00A4407D">
              <w:rPr>
                <w:rFonts w:cstheme="minorHAnsi"/>
                <w:b/>
                <w:sz w:val="20"/>
                <w:szCs w:val="20"/>
              </w:rPr>
              <w:t>65</w:t>
            </w:r>
            <w:r w:rsidRPr="00A4407D">
              <w:rPr>
                <w:b/>
                <w:sz w:val="20"/>
                <w:szCs w:val="20"/>
              </w:rPr>
              <w:t>%</w:t>
            </w:r>
          </w:p>
        </w:tc>
        <w:tc>
          <w:tcPr>
            <w:tcW w:w="1560" w:type="dxa"/>
            <w:shd w:val="clear" w:color="auto" w:fill="auto"/>
            <w:vAlign w:val="center"/>
          </w:tcPr>
          <w:p w14:paraId="40DF3E25" w14:textId="25DB0270" w:rsidR="00D72B3D" w:rsidRPr="00A4407D" w:rsidRDefault="00D72B3D" w:rsidP="00A4407D">
            <w:pPr>
              <w:pStyle w:val="Bezodstpw"/>
              <w:spacing w:line="276" w:lineRule="auto"/>
              <w:jc w:val="center"/>
              <w:rPr>
                <w:b/>
                <w:sz w:val="20"/>
                <w:szCs w:val="20"/>
              </w:rPr>
            </w:pPr>
            <w:r w:rsidRPr="00A4407D">
              <w:rPr>
                <w:rFonts w:cstheme="minorHAnsi"/>
                <w:b/>
                <w:sz w:val="20"/>
                <w:szCs w:val="20"/>
              </w:rPr>
              <w:t>75</w:t>
            </w:r>
            <w:r w:rsidRPr="00A4407D">
              <w:rPr>
                <w:b/>
                <w:sz w:val="20"/>
                <w:szCs w:val="20"/>
              </w:rPr>
              <w:t>%</w:t>
            </w:r>
          </w:p>
        </w:tc>
      </w:tr>
      <w:tr w:rsidR="00D72B3D" w:rsidRPr="00A4407D" w14:paraId="2E5EF794" w14:textId="77777777" w:rsidTr="00A4407D">
        <w:trPr>
          <w:trHeight w:val="363"/>
        </w:trPr>
        <w:tc>
          <w:tcPr>
            <w:tcW w:w="4673" w:type="dxa"/>
            <w:shd w:val="clear" w:color="auto" w:fill="auto"/>
            <w:vAlign w:val="center"/>
          </w:tcPr>
          <w:p w14:paraId="301C6072" w14:textId="77777777" w:rsidR="00D72B3D" w:rsidRPr="00A4407D" w:rsidRDefault="00D72B3D" w:rsidP="00A4407D">
            <w:pPr>
              <w:pStyle w:val="Bezodstpw"/>
              <w:spacing w:line="276" w:lineRule="auto"/>
              <w:jc w:val="right"/>
              <w:rPr>
                <w:rFonts w:cstheme="minorHAnsi"/>
                <w:b/>
                <w:sz w:val="20"/>
                <w:szCs w:val="20"/>
              </w:rPr>
            </w:pPr>
            <w:r w:rsidRPr="00A4407D">
              <w:rPr>
                <w:rFonts w:cstheme="minorHAnsi"/>
                <w:b/>
                <w:sz w:val="20"/>
                <w:szCs w:val="20"/>
              </w:rPr>
              <w:t>Obszar c**</w:t>
            </w:r>
          </w:p>
        </w:tc>
        <w:tc>
          <w:tcPr>
            <w:tcW w:w="1559" w:type="dxa"/>
            <w:shd w:val="clear" w:color="auto" w:fill="auto"/>
            <w:vAlign w:val="center"/>
          </w:tcPr>
          <w:p w14:paraId="4BACD21A" w14:textId="5DF93FAD" w:rsidR="00D72B3D" w:rsidRPr="00A4407D" w:rsidRDefault="00D72B3D" w:rsidP="00A4407D">
            <w:pPr>
              <w:pStyle w:val="Bezodstpw"/>
              <w:spacing w:line="276" w:lineRule="auto"/>
              <w:jc w:val="center"/>
              <w:rPr>
                <w:b/>
                <w:sz w:val="20"/>
                <w:szCs w:val="20"/>
              </w:rPr>
            </w:pPr>
            <w:r w:rsidRPr="00A4407D">
              <w:rPr>
                <w:rFonts w:cstheme="minorHAnsi"/>
                <w:b/>
                <w:sz w:val="20"/>
                <w:szCs w:val="20"/>
              </w:rPr>
              <w:t>45</w:t>
            </w:r>
            <w:r w:rsidRPr="00A4407D">
              <w:rPr>
                <w:b/>
                <w:sz w:val="20"/>
                <w:szCs w:val="20"/>
              </w:rPr>
              <w:t>%</w:t>
            </w:r>
          </w:p>
        </w:tc>
        <w:tc>
          <w:tcPr>
            <w:tcW w:w="1701" w:type="dxa"/>
            <w:shd w:val="clear" w:color="auto" w:fill="auto"/>
            <w:vAlign w:val="center"/>
          </w:tcPr>
          <w:p w14:paraId="4004FD5F" w14:textId="3E0CCA81" w:rsidR="00D72B3D" w:rsidRPr="00A4407D" w:rsidRDefault="00D72B3D" w:rsidP="00A4407D">
            <w:pPr>
              <w:pStyle w:val="Bezodstpw"/>
              <w:spacing w:line="276" w:lineRule="auto"/>
              <w:jc w:val="center"/>
              <w:rPr>
                <w:b/>
                <w:sz w:val="20"/>
                <w:szCs w:val="20"/>
              </w:rPr>
            </w:pPr>
            <w:r w:rsidRPr="00A4407D">
              <w:rPr>
                <w:rFonts w:cstheme="minorHAnsi"/>
                <w:b/>
                <w:sz w:val="20"/>
                <w:szCs w:val="20"/>
              </w:rPr>
              <w:t>55</w:t>
            </w:r>
            <w:r w:rsidRPr="00A4407D">
              <w:rPr>
                <w:b/>
                <w:sz w:val="20"/>
                <w:szCs w:val="20"/>
              </w:rPr>
              <w:t>%</w:t>
            </w:r>
          </w:p>
        </w:tc>
        <w:tc>
          <w:tcPr>
            <w:tcW w:w="1560" w:type="dxa"/>
            <w:shd w:val="clear" w:color="auto" w:fill="auto"/>
            <w:vAlign w:val="center"/>
          </w:tcPr>
          <w:p w14:paraId="1A78FBC2" w14:textId="0BC19DF8" w:rsidR="00D72B3D" w:rsidRPr="00A4407D" w:rsidRDefault="00D72B3D" w:rsidP="00A4407D">
            <w:pPr>
              <w:pStyle w:val="Bezodstpw"/>
              <w:spacing w:line="276" w:lineRule="auto"/>
              <w:jc w:val="center"/>
              <w:rPr>
                <w:b/>
                <w:sz w:val="20"/>
                <w:szCs w:val="20"/>
              </w:rPr>
            </w:pPr>
            <w:r w:rsidRPr="00A4407D">
              <w:rPr>
                <w:rFonts w:cstheme="minorHAnsi"/>
                <w:b/>
                <w:sz w:val="20"/>
                <w:szCs w:val="20"/>
              </w:rPr>
              <w:t>65</w:t>
            </w:r>
            <w:r w:rsidRPr="00A4407D">
              <w:rPr>
                <w:b/>
                <w:sz w:val="20"/>
                <w:szCs w:val="20"/>
              </w:rPr>
              <w:t>%</w:t>
            </w:r>
          </w:p>
        </w:tc>
      </w:tr>
      <w:tr w:rsidR="00D72B3D" w:rsidRPr="00A4407D" w14:paraId="5EFDF07D" w14:textId="77777777" w:rsidTr="00A4407D">
        <w:trPr>
          <w:trHeight w:val="334"/>
        </w:trPr>
        <w:tc>
          <w:tcPr>
            <w:tcW w:w="4673" w:type="dxa"/>
            <w:shd w:val="clear" w:color="auto" w:fill="auto"/>
            <w:vAlign w:val="center"/>
          </w:tcPr>
          <w:p w14:paraId="0C4CA1CA" w14:textId="77777777" w:rsidR="00D72B3D" w:rsidRPr="00A4407D" w:rsidRDefault="00D72B3D" w:rsidP="00A4407D">
            <w:pPr>
              <w:pStyle w:val="Bezodstpw"/>
              <w:spacing w:line="276" w:lineRule="auto"/>
              <w:jc w:val="right"/>
              <w:rPr>
                <w:rFonts w:cstheme="minorHAnsi"/>
                <w:b/>
                <w:sz w:val="20"/>
                <w:szCs w:val="20"/>
              </w:rPr>
            </w:pPr>
            <w:r w:rsidRPr="00A4407D">
              <w:rPr>
                <w:rFonts w:cstheme="minorHAnsi"/>
                <w:b/>
                <w:sz w:val="20"/>
                <w:szCs w:val="20"/>
              </w:rPr>
              <w:t>Poza obszarem „a” i „c”***</w:t>
            </w:r>
          </w:p>
        </w:tc>
        <w:tc>
          <w:tcPr>
            <w:tcW w:w="1559" w:type="dxa"/>
            <w:shd w:val="clear" w:color="auto" w:fill="auto"/>
            <w:vAlign w:val="center"/>
          </w:tcPr>
          <w:p w14:paraId="72E77E9F" w14:textId="1DD5E42D" w:rsidR="00D72B3D" w:rsidRPr="00A4407D" w:rsidRDefault="00D72B3D" w:rsidP="00A4407D">
            <w:pPr>
              <w:pStyle w:val="Bezodstpw"/>
              <w:spacing w:line="276" w:lineRule="auto"/>
              <w:jc w:val="center"/>
              <w:rPr>
                <w:b/>
                <w:sz w:val="20"/>
                <w:szCs w:val="20"/>
              </w:rPr>
            </w:pPr>
            <w:r w:rsidRPr="00A4407D">
              <w:rPr>
                <w:rFonts w:cstheme="minorHAnsi"/>
                <w:b/>
                <w:sz w:val="20"/>
                <w:szCs w:val="20"/>
              </w:rPr>
              <w:t>40</w:t>
            </w:r>
            <w:r w:rsidRPr="00A4407D">
              <w:rPr>
                <w:b/>
                <w:sz w:val="20"/>
                <w:szCs w:val="20"/>
              </w:rPr>
              <w:t>%</w:t>
            </w:r>
          </w:p>
        </w:tc>
        <w:tc>
          <w:tcPr>
            <w:tcW w:w="1701" w:type="dxa"/>
            <w:shd w:val="clear" w:color="auto" w:fill="auto"/>
            <w:vAlign w:val="center"/>
          </w:tcPr>
          <w:p w14:paraId="35F19B77" w14:textId="319F44DA" w:rsidR="00D72B3D" w:rsidRPr="00A4407D" w:rsidRDefault="00D72B3D" w:rsidP="00A4407D">
            <w:pPr>
              <w:pStyle w:val="Bezodstpw"/>
              <w:spacing w:line="276" w:lineRule="auto"/>
              <w:jc w:val="center"/>
              <w:rPr>
                <w:b/>
                <w:sz w:val="20"/>
                <w:szCs w:val="20"/>
              </w:rPr>
            </w:pPr>
            <w:r w:rsidRPr="00A4407D">
              <w:rPr>
                <w:rFonts w:cstheme="minorHAnsi"/>
                <w:b/>
                <w:sz w:val="20"/>
                <w:szCs w:val="20"/>
              </w:rPr>
              <w:t>50</w:t>
            </w:r>
            <w:r w:rsidRPr="00A4407D">
              <w:rPr>
                <w:b/>
                <w:sz w:val="20"/>
                <w:szCs w:val="20"/>
              </w:rPr>
              <w:t>%</w:t>
            </w:r>
          </w:p>
        </w:tc>
        <w:tc>
          <w:tcPr>
            <w:tcW w:w="1560" w:type="dxa"/>
            <w:shd w:val="clear" w:color="auto" w:fill="auto"/>
            <w:vAlign w:val="center"/>
          </w:tcPr>
          <w:p w14:paraId="10E5E7E5" w14:textId="46212301" w:rsidR="00D72B3D" w:rsidRPr="00A4407D" w:rsidRDefault="00D72B3D" w:rsidP="00A4407D">
            <w:pPr>
              <w:pStyle w:val="Bezodstpw"/>
              <w:spacing w:line="276" w:lineRule="auto"/>
              <w:jc w:val="center"/>
              <w:rPr>
                <w:b/>
                <w:sz w:val="20"/>
                <w:szCs w:val="20"/>
              </w:rPr>
            </w:pPr>
            <w:r w:rsidRPr="00A4407D">
              <w:rPr>
                <w:rFonts w:cstheme="minorHAnsi"/>
                <w:b/>
                <w:sz w:val="20"/>
                <w:szCs w:val="20"/>
              </w:rPr>
              <w:t>60</w:t>
            </w:r>
            <w:r w:rsidRPr="00A4407D">
              <w:rPr>
                <w:b/>
                <w:sz w:val="20"/>
                <w:szCs w:val="20"/>
              </w:rPr>
              <w:t>%</w:t>
            </w:r>
          </w:p>
        </w:tc>
      </w:tr>
      <w:tr w:rsidR="00D72B3D" w:rsidRPr="00A4407D" w14:paraId="4698F42C" w14:textId="77777777" w:rsidTr="00A4407D">
        <w:trPr>
          <w:trHeight w:val="730"/>
        </w:trPr>
        <w:tc>
          <w:tcPr>
            <w:tcW w:w="9493" w:type="dxa"/>
            <w:gridSpan w:val="4"/>
            <w:shd w:val="clear" w:color="auto" w:fill="D9E2F3" w:themeFill="accent1" w:themeFillTint="33"/>
            <w:vAlign w:val="center"/>
          </w:tcPr>
          <w:p w14:paraId="49C285EF" w14:textId="1135B81D" w:rsidR="00D72B3D" w:rsidRPr="00A4407D" w:rsidRDefault="00D72B3D" w:rsidP="00941ED8">
            <w:pPr>
              <w:pStyle w:val="Bezodstpw"/>
              <w:numPr>
                <w:ilvl w:val="2"/>
                <w:numId w:val="3"/>
              </w:numPr>
              <w:spacing w:line="276" w:lineRule="auto"/>
              <w:ind w:left="311" w:hanging="284"/>
              <w:rPr>
                <w:sz w:val="20"/>
                <w:szCs w:val="20"/>
              </w:rPr>
            </w:pPr>
            <w:bookmarkStart w:id="612" w:name="_Hlk167215458"/>
            <w:r w:rsidRPr="00151815">
              <w:rPr>
                <w:b/>
                <w:bCs/>
                <w:sz w:val="20"/>
                <w:szCs w:val="20"/>
              </w:rPr>
              <w:t>Art. 38</w:t>
            </w:r>
            <w:r w:rsidRPr="00A4407D">
              <w:rPr>
                <w:rFonts w:cstheme="minorHAnsi"/>
                <w:bCs/>
                <w:sz w:val="20"/>
                <w:szCs w:val="20"/>
              </w:rPr>
              <w:t xml:space="preserve"> </w:t>
            </w:r>
            <w:r w:rsidRPr="00A4407D">
              <w:rPr>
                <w:rFonts w:cstheme="minorHAnsi"/>
                <w:i/>
                <w:sz w:val="20"/>
                <w:szCs w:val="20"/>
                <w:lang w:eastAsia="pl-PL"/>
              </w:rPr>
              <w:t>rozporządzenia</w:t>
            </w:r>
            <w:r w:rsidRPr="00A4407D">
              <w:rPr>
                <w:rFonts w:cstheme="minorHAnsi"/>
                <w:bCs/>
                <w:sz w:val="20"/>
                <w:szCs w:val="20"/>
              </w:rPr>
              <w:t xml:space="preserve"> Komisji (UE) nr 651/2014 - </w:t>
            </w:r>
            <w:r w:rsidRPr="00A4407D">
              <w:rPr>
                <w:b/>
                <w:sz w:val="20"/>
                <w:szCs w:val="20"/>
              </w:rPr>
              <w:t xml:space="preserve">efektywność </w:t>
            </w:r>
            <w:r w:rsidRPr="00A4407D">
              <w:rPr>
                <w:rFonts w:cstheme="minorHAnsi"/>
                <w:b/>
                <w:sz w:val="20"/>
                <w:szCs w:val="20"/>
              </w:rPr>
              <w:t>energetyczn</w:t>
            </w:r>
            <w:r w:rsidR="00AB6499">
              <w:rPr>
                <w:rFonts w:cstheme="minorHAnsi"/>
                <w:b/>
                <w:sz w:val="20"/>
                <w:szCs w:val="20"/>
              </w:rPr>
              <w:t>a</w:t>
            </w:r>
            <w:r w:rsidRPr="00A4407D">
              <w:rPr>
                <w:rFonts w:cstheme="minorHAnsi"/>
                <w:b/>
                <w:sz w:val="20"/>
                <w:szCs w:val="20"/>
              </w:rPr>
              <w:t xml:space="preserve"> inną niż</w:t>
            </w:r>
            <w:r w:rsidRPr="00A4407D">
              <w:rPr>
                <w:b/>
                <w:sz w:val="20"/>
                <w:szCs w:val="20"/>
              </w:rPr>
              <w:t xml:space="preserve"> w </w:t>
            </w:r>
            <w:r w:rsidRPr="00A4407D">
              <w:rPr>
                <w:rFonts w:cstheme="minorHAnsi"/>
                <w:b/>
                <w:sz w:val="20"/>
                <w:szCs w:val="20"/>
              </w:rPr>
              <w:t>budynkach</w:t>
            </w:r>
            <w:r w:rsidRPr="00A4407D">
              <w:rPr>
                <w:rFonts w:cstheme="minorHAnsi"/>
                <w:bCs/>
                <w:sz w:val="20"/>
                <w:szCs w:val="20"/>
              </w:rPr>
              <w:t xml:space="preserve"> </w:t>
            </w:r>
            <w:bookmarkEnd w:id="612"/>
            <w:r w:rsidR="000A61C9">
              <w:rPr>
                <w:rFonts w:cstheme="minorHAnsi"/>
                <w:bCs/>
                <w:sz w:val="20"/>
                <w:szCs w:val="20"/>
              </w:rPr>
              <w:t>(7.3.2)</w:t>
            </w:r>
          </w:p>
        </w:tc>
      </w:tr>
      <w:tr w:rsidR="00D72B3D" w:rsidRPr="00A4407D" w14:paraId="6FAE10A2" w14:textId="77777777" w:rsidTr="00A4407D">
        <w:trPr>
          <w:trHeight w:val="397"/>
        </w:trPr>
        <w:tc>
          <w:tcPr>
            <w:tcW w:w="4673" w:type="dxa"/>
            <w:shd w:val="clear" w:color="auto" w:fill="auto"/>
            <w:vAlign w:val="center"/>
          </w:tcPr>
          <w:p w14:paraId="74DC075C" w14:textId="77777777" w:rsidR="00D72B3D" w:rsidRPr="00A4407D" w:rsidRDefault="00D72B3D" w:rsidP="00A4407D">
            <w:pPr>
              <w:pStyle w:val="Bezodstpw"/>
              <w:spacing w:line="276" w:lineRule="auto"/>
              <w:jc w:val="right"/>
              <w:rPr>
                <w:rFonts w:cstheme="minorHAnsi"/>
                <w:b/>
                <w:sz w:val="20"/>
                <w:szCs w:val="20"/>
                <w:lang w:eastAsia="pl-PL"/>
              </w:rPr>
            </w:pPr>
            <w:r w:rsidRPr="00A4407D">
              <w:rPr>
                <w:rFonts w:cstheme="minorHAnsi"/>
                <w:b/>
                <w:sz w:val="20"/>
                <w:szCs w:val="20"/>
              </w:rPr>
              <w:t>Obszar a*</w:t>
            </w:r>
          </w:p>
        </w:tc>
        <w:tc>
          <w:tcPr>
            <w:tcW w:w="1559" w:type="dxa"/>
            <w:shd w:val="clear" w:color="auto" w:fill="auto"/>
            <w:vAlign w:val="center"/>
          </w:tcPr>
          <w:p w14:paraId="38134A49" w14:textId="3C524643" w:rsidR="00D72B3D" w:rsidRPr="00A4407D" w:rsidRDefault="00AB6499" w:rsidP="00A4407D">
            <w:pPr>
              <w:spacing w:line="276" w:lineRule="auto"/>
              <w:jc w:val="center"/>
              <w:rPr>
                <w:b/>
                <w:sz w:val="20"/>
                <w:szCs w:val="20"/>
              </w:rPr>
            </w:pPr>
            <w:r>
              <w:rPr>
                <w:b/>
                <w:sz w:val="20"/>
                <w:szCs w:val="20"/>
              </w:rPr>
              <w:t>22,5</w:t>
            </w:r>
            <w:r w:rsidR="00D72B3D" w:rsidRPr="00A4407D">
              <w:rPr>
                <w:b/>
                <w:sz w:val="20"/>
                <w:szCs w:val="20"/>
              </w:rPr>
              <w:t>%</w:t>
            </w:r>
          </w:p>
        </w:tc>
        <w:tc>
          <w:tcPr>
            <w:tcW w:w="1701" w:type="dxa"/>
            <w:shd w:val="clear" w:color="auto" w:fill="auto"/>
            <w:vAlign w:val="center"/>
          </w:tcPr>
          <w:p w14:paraId="5715A1B8" w14:textId="4DFF8838" w:rsidR="00D72B3D" w:rsidRPr="00A4407D" w:rsidRDefault="00AB6499" w:rsidP="00A4407D">
            <w:pPr>
              <w:spacing w:line="276" w:lineRule="auto"/>
              <w:jc w:val="center"/>
              <w:rPr>
                <w:b/>
                <w:sz w:val="20"/>
                <w:szCs w:val="20"/>
              </w:rPr>
            </w:pPr>
            <w:r>
              <w:rPr>
                <w:b/>
                <w:sz w:val="20"/>
                <w:szCs w:val="20"/>
              </w:rPr>
              <w:t>27,5</w:t>
            </w:r>
            <w:r w:rsidR="00D72B3D" w:rsidRPr="00A4407D">
              <w:rPr>
                <w:b/>
                <w:sz w:val="20"/>
                <w:szCs w:val="20"/>
              </w:rPr>
              <w:t>%</w:t>
            </w:r>
          </w:p>
        </w:tc>
        <w:tc>
          <w:tcPr>
            <w:tcW w:w="1560" w:type="dxa"/>
            <w:shd w:val="clear" w:color="auto" w:fill="auto"/>
            <w:vAlign w:val="center"/>
          </w:tcPr>
          <w:p w14:paraId="73E9E975" w14:textId="67AD3B74" w:rsidR="00D72B3D" w:rsidRPr="00A4407D" w:rsidRDefault="00AB6499" w:rsidP="00A4407D">
            <w:pPr>
              <w:spacing w:line="276" w:lineRule="auto"/>
              <w:jc w:val="center"/>
              <w:rPr>
                <w:b/>
                <w:sz w:val="20"/>
                <w:szCs w:val="20"/>
              </w:rPr>
            </w:pPr>
            <w:r>
              <w:rPr>
                <w:b/>
                <w:sz w:val="20"/>
                <w:szCs w:val="20"/>
              </w:rPr>
              <w:t>32,5</w:t>
            </w:r>
            <w:r w:rsidR="00D72B3D" w:rsidRPr="00A4407D">
              <w:rPr>
                <w:b/>
                <w:sz w:val="20"/>
                <w:szCs w:val="20"/>
              </w:rPr>
              <w:t>%</w:t>
            </w:r>
          </w:p>
        </w:tc>
      </w:tr>
      <w:tr w:rsidR="00D72B3D" w:rsidRPr="00A4407D" w14:paraId="0022F173" w14:textId="77777777" w:rsidTr="00A4407D">
        <w:trPr>
          <w:trHeight w:val="397"/>
        </w:trPr>
        <w:tc>
          <w:tcPr>
            <w:tcW w:w="4673" w:type="dxa"/>
            <w:shd w:val="clear" w:color="auto" w:fill="auto"/>
            <w:vAlign w:val="center"/>
          </w:tcPr>
          <w:p w14:paraId="03C0FCAF" w14:textId="77777777" w:rsidR="00D72B3D" w:rsidRPr="00A4407D" w:rsidRDefault="00D72B3D" w:rsidP="00A4407D">
            <w:pPr>
              <w:pStyle w:val="Bezodstpw"/>
              <w:spacing w:line="276" w:lineRule="auto"/>
              <w:jc w:val="right"/>
              <w:rPr>
                <w:rFonts w:cstheme="minorHAnsi"/>
                <w:b/>
                <w:sz w:val="20"/>
                <w:szCs w:val="20"/>
                <w:lang w:eastAsia="pl-PL"/>
              </w:rPr>
            </w:pPr>
            <w:r w:rsidRPr="00A4407D">
              <w:rPr>
                <w:rFonts w:cstheme="minorHAnsi"/>
                <w:b/>
                <w:sz w:val="20"/>
                <w:szCs w:val="20"/>
              </w:rPr>
              <w:t>Obszar c**</w:t>
            </w:r>
          </w:p>
        </w:tc>
        <w:tc>
          <w:tcPr>
            <w:tcW w:w="1559" w:type="dxa"/>
            <w:shd w:val="clear" w:color="auto" w:fill="auto"/>
            <w:vAlign w:val="center"/>
          </w:tcPr>
          <w:p w14:paraId="1DAA735C" w14:textId="45534BE7" w:rsidR="00D72B3D" w:rsidRPr="00A4407D" w:rsidRDefault="00AB6499" w:rsidP="00A4407D">
            <w:pPr>
              <w:spacing w:line="276" w:lineRule="auto"/>
              <w:jc w:val="center"/>
              <w:rPr>
                <w:b/>
                <w:sz w:val="20"/>
                <w:szCs w:val="20"/>
              </w:rPr>
            </w:pPr>
            <w:r>
              <w:rPr>
                <w:b/>
                <w:sz w:val="20"/>
                <w:szCs w:val="20"/>
              </w:rPr>
              <w:t>17,5</w:t>
            </w:r>
            <w:r w:rsidR="00D72B3D" w:rsidRPr="00A4407D">
              <w:rPr>
                <w:b/>
                <w:sz w:val="20"/>
                <w:szCs w:val="20"/>
              </w:rPr>
              <w:t>%</w:t>
            </w:r>
          </w:p>
        </w:tc>
        <w:tc>
          <w:tcPr>
            <w:tcW w:w="1701" w:type="dxa"/>
            <w:shd w:val="clear" w:color="auto" w:fill="auto"/>
            <w:vAlign w:val="center"/>
          </w:tcPr>
          <w:p w14:paraId="2F18433A" w14:textId="03FE61D6" w:rsidR="00D72B3D" w:rsidRPr="00A4407D" w:rsidRDefault="00AB6499" w:rsidP="00A4407D">
            <w:pPr>
              <w:spacing w:line="276" w:lineRule="auto"/>
              <w:jc w:val="center"/>
              <w:rPr>
                <w:b/>
                <w:sz w:val="20"/>
                <w:szCs w:val="20"/>
              </w:rPr>
            </w:pPr>
            <w:r>
              <w:rPr>
                <w:b/>
                <w:sz w:val="20"/>
                <w:szCs w:val="20"/>
              </w:rPr>
              <w:t>22,5</w:t>
            </w:r>
            <w:r w:rsidR="00D72B3D" w:rsidRPr="00A4407D">
              <w:rPr>
                <w:b/>
                <w:sz w:val="20"/>
                <w:szCs w:val="20"/>
              </w:rPr>
              <w:t>%</w:t>
            </w:r>
          </w:p>
        </w:tc>
        <w:tc>
          <w:tcPr>
            <w:tcW w:w="1560" w:type="dxa"/>
            <w:shd w:val="clear" w:color="auto" w:fill="auto"/>
            <w:vAlign w:val="center"/>
          </w:tcPr>
          <w:p w14:paraId="50D7C164" w14:textId="0469F471" w:rsidR="00D72B3D" w:rsidRPr="00A4407D" w:rsidRDefault="00AB6499" w:rsidP="00A4407D">
            <w:pPr>
              <w:spacing w:line="276" w:lineRule="auto"/>
              <w:jc w:val="center"/>
              <w:rPr>
                <w:b/>
                <w:sz w:val="20"/>
                <w:szCs w:val="20"/>
              </w:rPr>
            </w:pPr>
            <w:r>
              <w:rPr>
                <w:b/>
                <w:sz w:val="20"/>
                <w:szCs w:val="20"/>
              </w:rPr>
              <w:t>27,5</w:t>
            </w:r>
            <w:r w:rsidR="00D72B3D" w:rsidRPr="00A4407D">
              <w:rPr>
                <w:b/>
                <w:sz w:val="20"/>
                <w:szCs w:val="20"/>
              </w:rPr>
              <w:t>%</w:t>
            </w:r>
          </w:p>
        </w:tc>
      </w:tr>
      <w:tr w:rsidR="00D72B3D" w:rsidRPr="00A4407D" w14:paraId="0E240FFA" w14:textId="77777777" w:rsidTr="00A4407D">
        <w:trPr>
          <w:trHeight w:val="397"/>
        </w:trPr>
        <w:tc>
          <w:tcPr>
            <w:tcW w:w="4673" w:type="dxa"/>
            <w:shd w:val="clear" w:color="auto" w:fill="auto"/>
            <w:vAlign w:val="center"/>
          </w:tcPr>
          <w:p w14:paraId="57956D44" w14:textId="77777777" w:rsidR="00D72B3D" w:rsidRPr="00A4407D" w:rsidRDefault="00D72B3D" w:rsidP="00A4407D">
            <w:pPr>
              <w:pStyle w:val="Bezodstpw"/>
              <w:spacing w:line="276" w:lineRule="auto"/>
              <w:jc w:val="right"/>
              <w:rPr>
                <w:rFonts w:cstheme="minorHAnsi"/>
                <w:b/>
                <w:sz w:val="20"/>
                <w:szCs w:val="20"/>
                <w:lang w:eastAsia="pl-PL"/>
              </w:rPr>
            </w:pPr>
            <w:r w:rsidRPr="00A4407D">
              <w:rPr>
                <w:rFonts w:cstheme="minorHAnsi"/>
                <w:b/>
                <w:sz w:val="20"/>
                <w:szCs w:val="20"/>
              </w:rPr>
              <w:t>Poza obszarem „a” i „c”***</w:t>
            </w:r>
          </w:p>
        </w:tc>
        <w:tc>
          <w:tcPr>
            <w:tcW w:w="1559" w:type="dxa"/>
            <w:shd w:val="clear" w:color="auto" w:fill="auto"/>
            <w:vAlign w:val="center"/>
          </w:tcPr>
          <w:p w14:paraId="1A8DB528" w14:textId="69674713" w:rsidR="00D72B3D" w:rsidRPr="00A4407D" w:rsidRDefault="00AB6499" w:rsidP="00A4407D">
            <w:pPr>
              <w:spacing w:line="276" w:lineRule="auto"/>
              <w:jc w:val="center"/>
              <w:rPr>
                <w:b/>
                <w:sz w:val="20"/>
                <w:szCs w:val="20"/>
              </w:rPr>
            </w:pPr>
            <w:r>
              <w:rPr>
                <w:b/>
                <w:sz w:val="20"/>
                <w:szCs w:val="20"/>
              </w:rPr>
              <w:t>15</w:t>
            </w:r>
            <w:r w:rsidR="00D72B3D" w:rsidRPr="00A4407D">
              <w:rPr>
                <w:b/>
                <w:sz w:val="20"/>
                <w:szCs w:val="20"/>
              </w:rPr>
              <w:t>%</w:t>
            </w:r>
          </w:p>
        </w:tc>
        <w:tc>
          <w:tcPr>
            <w:tcW w:w="1701" w:type="dxa"/>
            <w:shd w:val="clear" w:color="auto" w:fill="auto"/>
            <w:vAlign w:val="center"/>
          </w:tcPr>
          <w:p w14:paraId="496B6D2A" w14:textId="02E3CED8" w:rsidR="00D72B3D" w:rsidRPr="00A4407D" w:rsidRDefault="00AB6499" w:rsidP="00A4407D">
            <w:pPr>
              <w:spacing w:line="276" w:lineRule="auto"/>
              <w:jc w:val="center"/>
              <w:rPr>
                <w:b/>
                <w:sz w:val="20"/>
                <w:szCs w:val="20"/>
              </w:rPr>
            </w:pPr>
            <w:r>
              <w:rPr>
                <w:b/>
                <w:sz w:val="20"/>
                <w:szCs w:val="20"/>
              </w:rPr>
              <w:t>20</w:t>
            </w:r>
            <w:r w:rsidR="00D72B3D" w:rsidRPr="00A4407D">
              <w:rPr>
                <w:b/>
                <w:sz w:val="20"/>
                <w:szCs w:val="20"/>
              </w:rPr>
              <w:t>%</w:t>
            </w:r>
          </w:p>
        </w:tc>
        <w:tc>
          <w:tcPr>
            <w:tcW w:w="1560" w:type="dxa"/>
            <w:shd w:val="clear" w:color="auto" w:fill="auto"/>
            <w:vAlign w:val="center"/>
          </w:tcPr>
          <w:p w14:paraId="3947AF7D" w14:textId="664C0CB1" w:rsidR="00D72B3D" w:rsidRPr="00A4407D" w:rsidRDefault="00AB6499" w:rsidP="00A4407D">
            <w:pPr>
              <w:spacing w:line="276" w:lineRule="auto"/>
              <w:jc w:val="center"/>
              <w:rPr>
                <w:b/>
                <w:sz w:val="20"/>
                <w:szCs w:val="20"/>
              </w:rPr>
            </w:pPr>
            <w:r>
              <w:rPr>
                <w:b/>
                <w:sz w:val="20"/>
                <w:szCs w:val="20"/>
              </w:rPr>
              <w:t>25</w:t>
            </w:r>
            <w:r w:rsidR="00D72B3D" w:rsidRPr="00A4407D">
              <w:rPr>
                <w:b/>
                <w:sz w:val="20"/>
                <w:szCs w:val="20"/>
              </w:rPr>
              <w:t>%</w:t>
            </w:r>
          </w:p>
        </w:tc>
      </w:tr>
      <w:tr w:rsidR="00D72B3D" w:rsidRPr="00A4407D" w14:paraId="5891628C" w14:textId="77777777" w:rsidTr="00A4407D">
        <w:trPr>
          <w:trHeight w:val="413"/>
        </w:trPr>
        <w:tc>
          <w:tcPr>
            <w:tcW w:w="9493" w:type="dxa"/>
            <w:gridSpan w:val="4"/>
            <w:tcBorders>
              <w:bottom w:val="single" w:sz="4" w:space="0" w:color="auto"/>
            </w:tcBorders>
            <w:shd w:val="clear" w:color="auto" w:fill="D9E2F3" w:themeFill="accent1" w:themeFillTint="33"/>
            <w:vAlign w:val="center"/>
          </w:tcPr>
          <w:p w14:paraId="18859AD3" w14:textId="17A52EFF" w:rsidR="00D72B3D" w:rsidRPr="00A4407D" w:rsidRDefault="00D72B3D" w:rsidP="00941ED8">
            <w:pPr>
              <w:pStyle w:val="Bezodstpw"/>
              <w:numPr>
                <w:ilvl w:val="2"/>
                <w:numId w:val="3"/>
              </w:numPr>
              <w:spacing w:line="276" w:lineRule="auto"/>
              <w:ind w:left="311" w:hanging="284"/>
              <w:rPr>
                <w:rFonts w:cstheme="minorHAnsi"/>
                <w:b/>
                <w:sz w:val="20"/>
                <w:szCs w:val="20"/>
                <w:lang w:eastAsia="pl-PL"/>
              </w:rPr>
            </w:pPr>
            <w:r w:rsidRPr="00A4407D">
              <w:rPr>
                <w:rFonts w:cstheme="minorHAnsi"/>
                <w:b/>
                <w:sz w:val="20"/>
                <w:szCs w:val="20"/>
                <w:lang w:eastAsia="pl-PL"/>
              </w:rPr>
              <w:t xml:space="preserve">Art. 38a </w:t>
            </w:r>
            <w:r w:rsidRPr="00A4407D">
              <w:rPr>
                <w:rFonts w:cstheme="minorHAnsi"/>
                <w:i/>
                <w:sz w:val="20"/>
                <w:szCs w:val="20"/>
                <w:lang w:eastAsia="pl-PL"/>
              </w:rPr>
              <w:t>rozporządzenia</w:t>
            </w:r>
            <w:r w:rsidRPr="00A4407D">
              <w:rPr>
                <w:rFonts w:cstheme="minorHAnsi"/>
                <w:bCs/>
                <w:sz w:val="20"/>
                <w:szCs w:val="20"/>
              </w:rPr>
              <w:t xml:space="preserve"> Komisji (UE) nr 651/2014 - inwestycje wspierające efektywność energetyczną w budynkach </w:t>
            </w:r>
            <w:r w:rsidRPr="00A4407D">
              <w:rPr>
                <w:rFonts w:cstheme="minorHAnsi"/>
                <w:sz w:val="20"/>
                <w:szCs w:val="20"/>
                <w:lang w:eastAsia="pl-PL"/>
              </w:rPr>
              <w:t>(w przypadku kategorii wydatku 7.3.</w:t>
            </w:r>
            <w:r w:rsidR="000A61C9">
              <w:rPr>
                <w:rFonts w:cstheme="minorHAnsi"/>
                <w:sz w:val="20"/>
                <w:szCs w:val="20"/>
                <w:lang w:eastAsia="pl-PL"/>
              </w:rPr>
              <w:t>3</w:t>
            </w:r>
            <w:r w:rsidRPr="00A4407D">
              <w:rPr>
                <w:rFonts w:cstheme="minorHAnsi"/>
                <w:sz w:val="20"/>
                <w:szCs w:val="20"/>
                <w:lang w:eastAsia="pl-PL"/>
              </w:rPr>
              <w:t xml:space="preserve"> zastosuj intensywności z lit. a)</w:t>
            </w:r>
            <w:r w:rsidR="00662A2C">
              <w:rPr>
                <w:rFonts w:cstheme="minorHAnsi"/>
                <w:sz w:val="20"/>
                <w:szCs w:val="20"/>
                <w:lang w:eastAsia="pl-PL"/>
              </w:rPr>
              <w:t xml:space="preserve"> lub</w:t>
            </w:r>
            <w:r w:rsidRPr="00A4407D">
              <w:rPr>
                <w:rFonts w:cstheme="minorHAnsi"/>
                <w:sz w:val="20"/>
                <w:szCs w:val="20"/>
                <w:lang w:eastAsia="pl-PL"/>
              </w:rPr>
              <w:t xml:space="preserve"> b)</w:t>
            </w:r>
          </w:p>
        </w:tc>
      </w:tr>
      <w:tr w:rsidR="00D72B3D" w:rsidRPr="00A4407D" w14:paraId="7C7A5764" w14:textId="77777777" w:rsidTr="00A4407D">
        <w:trPr>
          <w:trHeight w:val="413"/>
        </w:trPr>
        <w:tc>
          <w:tcPr>
            <w:tcW w:w="9493" w:type="dxa"/>
            <w:gridSpan w:val="4"/>
            <w:tcBorders>
              <w:bottom w:val="single" w:sz="4" w:space="0" w:color="auto"/>
            </w:tcBorders>
            <w:shd w:val="clear" w:color="auto" w:fill="D9E2F3" w:themeFill="accent1" w:themeFillTint="33"/>
            <w:vAlign w:val="center"/>
          </w:tcPr>
          <w:p w14:paraId="5C7E8327" w14:textId="65541CE6" w:rsidR="00D72B3D" w:rsidRPr="00A4407D" w:rsidRDefault="00D72B3D" w:rsidP="00941ED8">
            <w:pPr>
              <w:pStyle w:val="Bezodstpw"/>
              <w:numPr>
                <w:ilvl w:val="0"/>
                <w:numId w:val="14"/>
              </w:numPr>
              <w:shd w:val="clear" w:color="auto" w:fill="D9E2F3" w:themeFill="accent1" w:themeFillTint="33"/>
              <w:spacing w:line="276" w:lineRule="auto"/>
              <w:ind w:left="311" w:hanging="284"/>
              <w:rPr>
                <w:rFonts w:cstheme="minorHAnsi"/>
                <w:sz w:val="20"/>
                <w:szCs w:val="20"/>
              </w:rPr>
            </w:pPr>
            <w:r w:rsidRPr="00A4407D">
              <w:rPr>
                <w:rFonts w:cstheme="minorHAnsi"/>
                <w:b/>
                <w:sz w:val="20"/>
                <w:szCs w:val="20"/>
                <w:lang w:eastAsia="pl-PL"/>
              </w:rPr>
              <w:t>Art. 38a</w:t>
            </w:r>
            <w:r w:rsidRPr="00A4407D">
              <w:rPr>
                <w:b/>
                <w:sz w:val="20"/>
                <w:szCs w:val="20"/>
              </w:rPr>
              <w:t xml:space="preserve"> </w:t>
            </w:r>
            <w:r w:rsidRPr="00A4407D">
              <w:rPr>
                <w:rFonts w:cstheme="minorHAnsi"/>
                <w:bCs/>
                <w:sz w:val="20"/>
                <w:szCs w:val="20"/>
              </w:rPr>
              <w:t xml:space="preserve">rozporządzenia Komisji (UE) nr 651/2014 - inwestycje wspierające efektywność energetyczną w budynkach; </w:t>
            </w:r>
            <w:r w:rsidRPr="00A4407D">
              <w:rPr>
                <w:rFonts w:cstheme="minorHAnsi"/>
                <w:sz w:val="20"/>
                <w:szCs w:val="20"/>
              </w:rPr>
              <w:t>inwestycje polegające na instalacji lub wymianie tylko jednego rodzaju elementów budynku w rozumieniu art. 2 pkt 9 dyrektywy 2010/31/UE</w:t>
            </w:r>
          </w:p>
        </w:tc>
      </w:tr>
      <w:tr w:rsidR="00D72B3D" w:rsidRPr="00A4407D" w14:paraId="4B1C3C30" w14:textId="77777777" w:rsidTr="00A4407D">
        <w:trPr>
          <w:trHeight w:val="140"/>
        </w:trPr>
        <w:tc>
          <w:tcPr>
            <w:tcW w:w="4673" w:type="dxa"/>
            <w:shd w:val="clear" w:color="auto" w:fill="FFFFFF" w:themeFill="background1"/>
            <w:vAlign w:val="center"/>
          </w:tcPr>
          <w:p w14:paraId="7C778A91" w14:textId="77777777" w:rsidR="00D72B3D" w:rsidRPr="00A4407D" w:rsidRDefault="00D72B3D" w:rsidP="00A4407D">
            <w:pPr>
              <w:pStyle w:val="Bezodstpw"/>
              <w:spacing w:line="276" w:lineRule="auto"/>
              <w:jc w:val="right"/>
              <w:rPr>
                <w:rFonts w:cstheme="minorHAnsi"/>
                <w:b/>
                <w:sz w:val="20"/>
                <w:szCs w:val="20"/>
              </w:rPr>
            </w:pPr>
            <w:r w:rsidRPr="00A4407D">
              <w:rPr>
                <w:rFonts w:cstheme="minorHAnsi"/>
                <w:b/>
                <w:sz w:val="20"/>
                <w:szCs w:val="20"/>
              </w:rPr>
              <w:t>Obszar a*</w:t>
            </w:r>
          </w:p>
        </w:tc>
        <w:tc>
          <w:tcPr>
            <w:tcW w:w="1559" w:type="dxa"/>
            <w:shd w:val="clear" w:color="auto" w:fill="FFFFFF" w:themeFill="background1"/>
            <w:vAlign w:val="center"/>
          </w:tcPr>
          <w:p w14:paraId="110BC49B" w14:textId="66E5A029" w:rsidR="00D72B3D" w:rsidRPr="00A4407D" w:rsidRDefault="00D72B3D" w:rsidP="00A4407D">
            <w:pPr>
              <w:pStyle w:val="Bezodstpw"/>
              <w:spacing w:line="276" w:lineRule="auto"/>
              <w:jc w:val="center"/>
              <w:rPr>
                <w:b/>
                <w:sz w:val="20"/>
                <w:szCs w:val="20"/>
              </w:rPr>
            </w:pPr>
            <w:r w:rsidRPr="00A4407D">
              <w:rPr>
                <w:rFonts w:cstheme="minorHAnsi"/>
                <w:b/>
                <w:sz w:val="20"/>
                <w:szCs w:val="20"/>
              </w:rPr>
              <w:t>40</w:t>
            </w:r>
            <w:r w:rsidRPr="00A4407D">
              <w:rPr>
                <w:b/>
                <w:sz w:val="20"/>
                <w:szCs w:val="20"/>
              </w:rPr>
              <w:t>%</w:t>
            </w:r>
          </w:p>
        </w:tc>
        <w:tc>
          <w:tcPr>
            <w:tcW w:w="1701" w:type="dxa"/>
            <w:shd w:val="clear" w:color="auto" w:fill="FFFFFF" w:themeFill="background1"/>
            <w:vAlign w:val="center"/>
          </w:tcPr>
          <w:p w14:paraId="0B821F64" w14:textId="123E215C" w:rsidR="00D72B3D" w:rsidRPr="00A4407D" w:rsidRDefault="00D72B3D" w:rsidP="00A4407D">
            <w:pPr>
              <w:pStyle w:val="Bezodstpw"/>
              <w:spacing w:line="276" w:lineRule="auto"/>
              <w:jc w:val="center"/>
              <w:rPr>
                <w:b/>
                <w:sz w:val="20"/>
                <w:szCs w:val="20"/>
              </w:rPr>
            </w:pPr>
            <w:r w:rsidRPr="00A4407D">
              <w:rPr>
                <w:rFonts w:cstheme="minorHAnsi"/>
                <w:b/>
                <w:sz w:val="20"/>
                <w:szCs w:val="20"/>
              </w:rPr>
              <w:t>50</w:t>
            </w:r>
            <w:r w:rsidRPr="00A4407D">
              <w:rPr>
                <w:b/>
                <w:sz w:val="20"/>
                <w:szCs w:val="20"/>
              </w:rPr>
              <w:t>%</w:t>
            </w:r>
          </w:p>
        </w:tc>
        <w:tc>
          <w:tcPr>
            <w:tcW w:w="1560" w:type="dxa"/>
            <w:shd w:val="clear" w:color="auto" w:fill="FFFFFF" w:themeFill="background1"/>
            <w:vAlign w:val="center"/>
          </w:tcPr>
          <w:p w14:paraId="19FAF1D5" w14:textId="74927F70" w:rsidR="00D72B3D" w:rsidRPr="00A4407D" w:rsidRDefault="00D72B3D" w:rsidP="00A4407D">
            <w:pPr>
              <w:pStyle w:val="Bezodstpw"/>
              <w:spacing w:line="276" w:lineRule="auto"/>
              <w:jc w:val="center"/>
              <w:rPr>
                <w:b/>
                <w:sz w:val="20"/>
                <w:szCs w:val="20"/>
              </w:rPr>
            </w:pPr>
            <w:r w:rsidRPr="00A4407D">
              <w:rPr>
                <w:rFonts w:cstheme="minorHAnsi"/>
                <w:b/>
                <w:sz w:val="20"/>
                <w:szCs w:val="20"/>
              </w:rPr>
              <w:t>60</w:t>
            </w:r>
            <w:r w:rsidRPr="00A4407D">
              <w:rPr>
                <w:b/>
                <w:sz w:val="20"/>
                <w:szCs w:val="20"/>
              </w:rPr>
              <w:t>%</w:t>
            </w:r>
          </w:p>
        </w:tc>
      </w:tr>
      <w:tr w:rsidR="00D72B3D" w:rsidRPr="00A4407D" w14:paraId="2794735A" w14:textId="77777777" w:rsidTr="00A4407D">
        <w:trPr>
          <w:trHeight w:val="140"/>
        </w:trPr>
        <w:tc>
          <w:tcPr>
            <w:tcW w:w="4673" w:type="dxa"/>
            <w:shd w:val="clear" w:color="auto" w:fill="FFFFFF" w:themeFill="background1"/>
            <w:vAlign w:val="center"/>
          </w:tcPr>
          <w:p w14:paraId="153DE60A" w14:textId="77777777" w:rsidR="00D72B3D" w:rsidRPr="00A4407D" w:rsidRDefault="00D72B3D" w:rsidP="00A4407D">
            <w:pPr>
              <w:pStyle w:val="Bezodstpw"/>
              <w:spacing w:line="276" w:lineRule="auto"/>
              <w:jc w:val="right"/>
              <w:rPr>
                <w:rFonts w:cstheme="minorHAnsi"/>
                <w:b/>
                <w:sz w:val="20"/>
                <w:szCs w:val="20"/>
              </w:rPr>
            </w:pPr>
            <w:r w:rsidRPr="00A4407D">
              <w:rPr>
                <w:rFonts w:cstheme="minorHAnsi"/>
                <w:b/>
                <w:sz w:val="20"/>
                <w:szCs w:val="20"/>
              </w:rPr>
              <w:t>Obszar c**</w:t>
            </w:r>
          </w:p>
        </w:tc>
        <w:tc>
          <w:tcPr>
            <w:tcW w:w="1559" w:type="dxa"/>
            <w:shd w:val="clear" w:color="auto" w:fill="FFFFFF" w:themeFill="background1"/>
            <w:vAlign w:val="center"/>
          </w:tcPr>
          <w:p w14:paraId="02AED6FE" w14:textId="332FF4A8" w:rsidR="00D72B3D" w:rsidRPr="00A4407D" w:rsidRDefault="00D72B3D" w:rsidP="00A4407D">
            <w:pPr>
              <w:pStyle w:val="Bezodstpw"/>
              <w:spacing w:line="276" w:lineRule="auto"/>
              <w:jc w:val="center"/>
              <w:rPr>
                <w:b/>
                <w:sz w:val="20"/>
                <w:szCs w:val="20"/>
              </w:rPr>
            </w:pPr>
            <w:r w:rsidRPr="00A4407D">
              <w:rPr>
                <w:rFonts w:cstheme="minorHAnsi"/>
                <w:b/>
                <w:sz w:val="20"/>
                <w:szCs w:val="20"/>
              </w:rPr>
              <w:t>30</w:t>
            </w:r>
            <w:r w:rsidRPr="00A4407D">
              <w:rPr>
                <w:b/>
                <w:sz w:val="20"/>
                <w:szCs w:val="20"/>
              </w:rPr>
              <w:t>%</w:t>
            </w:r>
          </w:p>
        </w:tc>
        <w:tc>
          <w:tcPr>
            <w:tcW w:w="1701" w:type="dxa"/>
            <w:shd w:val="clear" w:color="auto" w:fill="FFFFFF" w:themeFill="background1"/>
            <w:vAlign w:val="center"/>
          </w:tcPr>
          <w:p w14:paraId="087A7B16" w14:textId="51C9AC5E" w:rsidR="00D72B3D" w:rsidRPr="00A4407D" w:rsidRDefault="00D72B3D" w:rsidP="00A4407D">
            <w:pPr>
              <w:pStyle w:val="Bezodstpw"/>
              <w:spacing w:line="276" w:lineRule="auto"/>
              <w:jc w:val="center"/>
              <w:rPr>
                <w:b/>
                <w:sz w:val="20"/>
                <w:szCs w:val="20"/>
              </w:rPr>
            </w:pPr>
            <w:r w:rsidRPr="00A4407D">
              <w:rPr>
                <w:rFonts w:cstheme="minorHAnsi"/>
                <w:b/>
                <w:sz w:val="20"/>
                <w:szCs w:val="20"/>
              </w:rPr>
              <w:t>40</w:t>
            </w:r>
            <w:r w:rsidRPr="00A4407D">
              <w:rPr>
                <w:b/>
                <w:sz w:val="20"/>
                <w:szCs w:val="20"/>
              </w:rPr>
              <w:t>%</w:t>
            </w:r>
          </w:p>
        </w:tc>
        <w:tc>
          <w:tcPr>
            <w:tcW w:w="1560" w:type="dxa"/>
            <w:shd w:val="clear" w:color="auto" w:fill="FFFFFF" w:themeFill="background1"/>
            <w:vAlign w:val="center"/>
          </w:tcPr>
          <w:p w14:paraId="5DD09FEF" w14:textId="40E67C19" w:rsidR="00D72B3D" w:rsidRPr="00A4407D" w:rsidRDefault="00D72B3D" w:rsidP="00A4407D">
            <w:pPr>
              <w:pStyle w:val="Bezodstpw"/>
              <w:spacing w:line="276" w:lineRule="auto"/>
              <w:jc w:val="center"/>
              <w:rPr>
                <w:b/>
                <w:sz w:val="20"/>
                <w:szCs w:val="20"/>
              </w:rPr>
            </w:pPr>
            <w:r w:rsidRPr="00A4407D">
              <w:rPr>
                <w:rFonts w:cstheme="minorHAnsi"/>
                <w:b/>
                <w:sz w:val="20"/>
                <w:szCs w:val="20"/>
              </w:rPr>
              <w:t>50</w:t>
            </w:r>
            <w:r w:rsidRPr="00A4407D">
              <w:rPr>
                <w:b/>
                <w:sz w:val="20"/>
                <w:szCs w:val="20"/>
              </w:rPr>
              <w:t>%</w:t>
            </w:r>
          </w:p>
        </w:tc>
      </w:tr>
      <w:tr w:rsidR="00D72B3D" w:rsidRPr="00A4407D" w14:paraId="68AD1739" w14:textId="77777777" w:rsidTr="00A4407D">
        <w:trPr>
          <w:trHeight w:val="140"/>
        </w:trPr>
        <w:tc>
          <w:tcPr>
            <w:tcW w:w="4673" w:type="dxa"/>
            <w:shd w:val="clear" w:color="auto" w:fill="FFFFFF" w:themeFill="background1"/>
            <w:vAlign w:val="center"/>
          </w:tcPr>
          <w:p w14:paraId="0519FE98" w14:textId="77777777" w:rsidR="00D72B3D" w:rsidRPr="00A4407D" w:rsidRDefault="00D72B3D" w:rsidP="00A4407D">
            <w:pPr>
              <w:pStyle w:val="Bezodstpw"/>
              <w:spacing w:line="276" w:lineRule="auto"/>
              <w:jc w:val="right"/>
              <w:rPr>
                <w:rFonts w:cstheme="minorHAnsi"/>
                <w:b/>
                <w:sz w:val="20"/>
                <w:szCs w:val="20"/>
              </w:rPr>
            </w:pPr>
            <w:r w:rsidRPr="00A4407D">
              <w:rPr>
                <w:rFonts w:cstheme="minorHAnsi"/>
                <w:b/>
                <w:sz w:val="20"/>
                <w:szCs w:val="20"/>
              </w:rPr>
              <w:t>Poza obszarem „a” i „c”***</w:t>
            </w:r>
          </w:p>
        </w:tc>
        <w:tc>
          <w:tcPr>
            <w:tcW w:w="1559" w:type="dxa"/>
            <w:shd w:val="clear" w:color="auto" w:fill="FFFFFF" w:themeFill="background1"/>
            <w:vAlign w:val="center"/>
          </w:tcPr>
          <w:p w14:paraId="5148B7DA" w14:textId="65339EC6" w:rsidR="00D72B3D" w:rsidRPr="00A4407D" w:rsidRDefault="00D72B3D" w:rsidP="00A4407D">
            <w:pPr>
              <w:pStyle w:val="Bezodstpw"/>
              <w:spacing w:line="276" w:lineRule="auto"/>
              <w:jc w:val="center"/>
              <w:rPr>
                <w:b/>
                <w:sz w:val="20"/>
                <w:szCs w:val="20"/>
              </w:rPr>
            </w:pPr>
            <w:r w:rsidRPr="00A4407D">
              <w:rPr>
                <w:rFonts w:cstheme="minorHAnsi"/>
                <w:b/>
                <w:sz w:val="20"/>
                <w:szCs w:val="20"/>
              </w:rPr>
              <w:t>25</w:t>
            </w:r>
            <w:r w:rsidRPr="00A4407D">
              <w:rPr>
                <w:b/>
                <w:sz w:val="20"/>
                <w:szCs w:val="20"/>
              </w:rPr>
              <w:t>%</w:t>
            </w:r>
          </w:p>
        </w:tc>
        <w:tc>
          <w:tcPr>
            <w:tcW w:w="1701" w:type="dxa"/>
            <w:shd w:val="clear" w:color="auto" w:fill="FFFFFF" w:themeFill="background1"/>
            <w:vAlign w:val="center"/>
          </w:tcPr>
          <w:p w14:paraId="6DC20D98" w14:textId="085F0E04" w:rsidR="00D72B3D" w:rsidRPr="00A4407D" w:rsidRDefault="00D72B3D" w:rsidP="00A4407D">
            <w:pPr>
              <w:pStyle w:val="Bezodstpw"/>
              <w:spacing w:line="276" w:lineRule="auto"/>
              <w:jc w:val="center"/>
              <w:rPr>
                <w:b/>
                <w:sz w:val="20"/>
                <w:szCs w:val="20"/>
              </w:rPr>
            </w:pPr>
            <w:r w:rsidRPr="00A4407D">
              <w:rPr>
                <w:rFonts w:cstheme="minorHAnsi"/>
                <w:b/>
                <w:sz w:val="20"/>
                <w:szCs w:val="20"/>
              </w:rPr>
              <w:t>35</w:t>
            </w:r>
            <w:r w:rsidRPr="00A4407D">
              <w:rPr>
                <w:b/>
                <w:sz w:val="20"/>
                <w:szCs w:val="20"/>
              </w:rPr>
              <w:t>%</w:t>
            </w:r>
          </w:p>
        </w:tc>
        <w:tc>
          <w:tcPr>
            <w:tcW w:w="1560" w:type="dxa"/>
            <w:shd w:val="clear" w:color="auto" w:fill="FFFFFF" w:themeFill="background1"/>
            <w:vAlign w:val="center"/>
          </w:tcPr>
          <w:p w14:paraId="48907388" w14:textId="41A95B23" w:rsidR="00D72B3D" w:rsidRPr="00A4407D" w:rsidRDefault="00D72B3D" w:rsidP="00A4407D">
            <w:pPr>
              <w:pStyle w:val="Bezodstpw"/>
              <w:spacing w:line="276" w:lineRule="auto"/>
              <w:jc w:val="center"/>
              <w:rPr>
                <w:b/>
                <w:sz w:val="20"/>
                <w:szCs w:val="20"/>
              </w:rPr>
            </w:pPr>
            <w:r w:rsidRPr="00A4407D">
              <w:rPr>
                <w:rFonts w:cstheme="minorHAnsi"/>
                <w:b/>
                <w:sz w:val="20"/>
                <w:szCs w:val="20"/>
              </w:rPr>
              <w:t>45</w:t>
            </w:r>
            <w:r w:rsidRPr="00A4407D">
              <w:rPr>
                <w:b/>
                <w:sz w:val="20"/>
                <w:szCs w:val="20"/>
              </w:rPr>
              <w:t>%</w:t>
            </w:r>
          </w:p>
        </w:tc>
      </w:tr>
      <w:tr w:rsidR="00D72B3D" w:rsidRPr="00A4407D" w14:paraId="08D87B36" w14:textId="77777777" w:rsidTr="00A4407D">
        <w:trPr>
          <w:trHeight w:val="413"/>
        </w:trPr>
        <w:tc>
          <w:tcPr>
            <w:tcW w:w="4673" w:type="dxa"/>
            <w:shd w:val="clear" w:color="auto" w:fill="FFFFFF" w:themeFill="background1"/>
            <w:vAlign w:val="center"/>
          </w:tcPr>
          <w:p w14:paraId="5360D859" w14:textId="05B2B7D5" w:rsidR="00D72B3D" w:rsidRPr="00A4407D" w:rsidRDefault="00D72B3D" w:rsidP="00A4407D">
            <w:pPr>
              <w:pStyle w:val="Bezodstpw"/>
              <w:spacing w:line="276" w:lineRule="auto"/>
              <w:jc w:val="right"/>
              <w:rPr>
                <w:rFonts w:cstheme="minorHAnsi"/>
                <w:b/>
                <w:sz w:val="20"/>
                <w:szCs w:val="20"/>
              </w:rPr>
            </w:pPr>
            <w:r w:rsidRPr="00A4407D">
              <w:rPr>
                <w:rFonts w:cstheme="minorHAnsi"/>
                <w:b/>
                <w:sz w:val="20"/>
                <w:szCs w:val="20"/>
              </w:rPr>
              <w:t>Zwiększenie efektywności o min. 40% w porównaniu z sytuacją sprzed inwestycji</w:t>
            </w:r>
            <w:r w:rsidR="00A4407D">
              <w:rPr>
                <w:rFonts w:cstheme="minorHAnsi"/>
                <w:b/>
                <w:sz w:val="20"/>
                <w:szCs w:val="20"/>
              </w:rPr>
              <w:t>:</w:t>
            </w:r>
            <w:r w:rsidRPr="00A4407D">
              <w:rPr>
                <w:rFonts w:cstheme="minorHAnsi"/>
                <w:b/>
                <w:sz w:val="20"/>
                <w:szCs w:val="20"/>
              </w:rPr>
              <w:t xml:space="preserve"> obszar a</w:t>
            </w:r>
          </w:p>
        </w:tc>
        <w:tc>
          <w:tcPr>
            <w:tcW w:w="1559" w:type="dxa"/>
            <w:shd w:val="clear" w:color="auto" w:fill="FFFFFF" w:themeFill="background1"/>
            <w:vAlign w:val="center"/>
          </w:tcPr>
          <w:p w14:paraId="4558A4B9" w14:textId="77777777" w:rsidR="00D72B3D" w:rsidRPr="00A4407D" w:rsidRDefault="00D72B3D" w:rsidP="00A4407D">
            <w:pPr>
              <w:pStyle w:val="Bezodstpw"/>
              <w:spacing w:line="276" w:lineRule="auto"/>
              <w:jc w:val="center"/>
              <w:rPr>
                <w:rFonts w:cstheme="minorHAnsi"/>
                <w:b/>
                <w:sz w:val="20"/>
                <w:szCs w:val="20"/>
              </w:rPr>
            </w:pPr>
            <w:r w:rsidRPr="00A4407D">
              <w:rPr>
                <w:rFonts w:cstheme="minorHAnsi"/>
                <w:b/>
                <w:sz w:val="20"/>
                <w:szCs w:val="20"/>
              </w:rPr>
              <w:t>55%</w:t>
            </w:r>
          </w:p>
        </w:tc>
        <w:tc>
          <w:tcPr>
            <w:tcW w:w="1701" w:type="dxa"/>
            <w:shd w:val="clear" w:color="auto" w:fill="FFFFFF" w:themeFill="background1"/>
            <w:vAlign w:val="center"/>
          </w:tcPr>
          <w:p w14:paraId="74B4379A" w14:textId="77777777" w:rsidR="00D72B3D" w:rsidRPr="00A4407D" w:rsidRDefault="00D72B3D" w:rsidP="00A4407D">
            <w:pPr>
              <w:pStyle w:val="Bezodstpw"/>
              <w:spacing w:line="276" w:lineRule="auto"/>
              <w:jc w:val="center"/>
              <w:rPr>
                <w:rFonts w:cstheme="minorHAnsi"/>
                <w:b/>
                <w:sz w:val="20"/>
                <w:szCs w:val="20"/>
              </w:rPr>
            </w:pPr>
            <w:r w:rsidRPr="00A4407D">
              <w:rPr>
                <w:rFonts w:cstheme="minorHAnsi"/>
                <w:b/>
                <w:sz w:val="20"/>
                <w:szCs w:val="20"/>
              </w:rPr>
              <w:t>65%</w:t>
            </w:r>
          </w:p>
        </w:tc>
        <w:tc>
          <w:tcPr>
            <w:tcW w:w="1560" w:type="dxa"/>
            <w:shd w:val="clear" w:color="auto" w:fill="FFFFFF" w:themeFill="background1"/>
            <w:vAlign w:val="center"/>
          </w:tcPr>
          <w:p w14:paraId="40C60C73" w14:textId="77777777" w:rsidR="00D72B3D" w:rsidRPr="00A4407D" w:rsidRDefault="00D72B3D" w:rsidP="00A4407D">
            <w:pPr>
              <w:pStyle w:val="Bezodstpw"/>
              <w:spacing w:line="276" w:lineRule="auto"/>
              <w:jc w:val="center"/>
              <w:rPr>
                <w:rFonts w:cstheme="minorHAnsi"/>
                <w:b/>
                <w:sz w:val="20"/>
                <w:szCs w:val="20"/>
              </w:rPr>
            </w:pPr>
            <w:r w:rsidRPr="00A4407D">
              <w:rPr>
                <w:rFonts w:cstheme="minorHAnsi"/>
                <w:b/>
                <w:sz w:val="20"/>
                <w:szCs w:val="20"/>
              </w:rPr>
              <w:t>75%</w:t>
            </w:r>
          </w:p>
        </w:tc>
      </w:tr>
      <w:tr w:rsidR="00D72B3D" w:rsidRPr="00A4407D" w14:paraId="79F90A31" w14:textId="77777777" w:rsidTr="00A4407D">
        <w:trPr>
          <w:trHeight w:val="210"/>
        </w:trPr>
        <w:tc>
          <w:tcPr>
            <w:tcW w:w="4673" w:type="dxa"/>
            <w:shd w:val="clear" w:color="auto" w:fill="FFFFFF" w:themeFill="background1"/>
            <w:vAlign w:val="center"/>
          </w:tcPr>
          <w:p w14:paraId="73FB7B84" w14:textId="75B6F7C8" w:rsidR="00D72B3D" w:rsidRPr="00A4407D" w:rsidRDefault="00D72B3D" w:rsidP="00A4407D">
            <w:pPr>
              <w:pStyle w:val="Bezodstpw"/>
              <w:spacing w:line="276" w:lineRule="auto"/>
              <w:jc w:val="right"/>
              <w:rPr>
                <w:rFonts w:cstheme="minorHAnsi"/>
                <w:b/>
                <w:sz w:val="20"/>
                <w:szCs w:val="20"/>
              </w:rPr>
            </w:pPr>
            <w:r w:rsidRPr="00A4407D">
              <w:rPr>
                <w:rFonts w:cstheme="minorHAnsi"/>
                <w:b/>
                <w:sz w:val="20"/>
                <w:szCs w:val="20"/>
              </w:rPr>
              <w:t>Zwiększenie efektywności o min. 40% w porównaniu z sytuacją sprzed inwestycji</w:t>
            </w:r>
            <w:r w:rsidR="00A4407D">
              <w:rPr>
                <w:rFonts w:cstheme="minorHAnsi"/>
                <w:b/>
                <w:sz w:val="20"/>
                <w:szCs w:val="20"/>
              </w:rPr>
              <w:t>:</w:t>
            </w:r>
            <w:r w:rsidRPr="00A4407D">
              <w:rPr>
                <w:rFonts w:cstheme="minorHAnsi"/>
                <w:b/>
                <w:sz w:val="20"/>
                <w:szCs w:val="20"/>
              </w:rPr>
              <w:t xml:space="preserve"> obszar c</w:t>
            </w:r>
          </w:p>
        </w:tc>
        <w:tc>
          <w:tcPr>
            <w:tcW w:w="1559" w:type="dxa"/>
            <w:shd w:val="clear" w:color="auto" w:fill="FFFFFF" w:themeFill="background1"/>
            <w:vAlign w:val="center"/>
          </w:tcPr>
          <w:p w14:paraId="11BE59F0" w14:textId="77777777" w:rsidR="00D72B3D" w:rsidRPr="00A4407D" w:rsidRDefault="00D72B3D" w:rsidP="00A4407D">
            <w:pPr>
              <w:pStyle w:val="Bezodstpw"/>
              <w:spacing w:line="276" w:lineRule="auto"/>
              <w:jc w:val="center"/>
              <w:rPr>
                <w:rFonts w:cstheme="minorHAnsi"/>
                <w:b/>
                <w:sz w:val="20"/>
                <w:szCs w:val="20"/>
              </w:rPr>
            </w:pPr>
            <w:r w:rsidRPr="00A4407D">
              <w:rPr>
                <w:rFonts w:cstheme="minorHAnsi"/>
                <w:b/>
                <w:sz w:val="20"/>
                <w:szCs w:val="20"/>
              </w:rPr>
              <w:t>45%</w:t>
            </w:r>
          </w:p>
        </w:tc>
        <w:tc>
          <w:tcPr>
            <w:tcW w:w="1701" w:type="dxa"/>
            <w:shd w:val="clear" w:color="auto" w:fill="FFFFFF" w:themeFill="background1"/>
            <w:vAlign w:val="center"/>
          </w:tcPr>
          <w:p w14:paraId="4E8CFDB7" w14:textId="77777777" w:rsidR="00D72B3D" w:rsidRPr="00A4407D" w:rsidRDefault="00D72B3D" w:rsidP="00A4407D">
            <w:pPr>
              <w:pStyle w:val="Bezodstpw"/>
              <w:spacing w:line="276" w:lineRule="auto"/>
              <w:jc w:val="center"/>
              <w:rPr>
                <w:rFonts w:cstheme="minorHAnsi"/>
                <w:b/>
                <w:sz w:val="20"/>
                <w:szCs w:val="20"/>
              </w:rPr>
            </w:pPr>
            <w:r w:rsidRPr="00A4407D">
              <w:rPr>
                <w:rFonts w:cstheme="minorHAnsi"/>
                <w:b/>
                <w:sz w:val="20"/>
                <w:szCs w:val="20"/>
              </w:rPr>
              <w:t>55%</w:t>
            </w:r>
          </w:p>
        </w:tc>
        <w:tc>
          <w:tcPr>
            <w:tcW w:w="1560" w:type="dxa"/>
            <w:shd w:val="clear" w:color="auto" w:fill="FFFFFF" w:themeFill="background1"/>
            <w:vAlign w:val="center"/>
          </w:tcPr>
          <w:p w14:paraId="11EE31CC" w14:textId="77777777" w:rsidR="00D72B3D" w:rsidRPr="00A4407D" w:rsidRDefault="00D72B3D" w:rsidP="00A4407D">
            <w:pPr>
              <w:pStyle w:val="Bezodstpw"/>
              <w:spacing w:line="276" w:lineRule="auto"/>
              <w:jc w:val="center"/>
              <w:rPr>
                <w:rFonts w:cstheme="minorHAnsi"/>
                <w:b/>
                <w:sz w:val="20"/>
                <w:szCs w:val="20"/>
              </w:rPr>
            </w:pPr>
            <w:r w:rsidRPr="00A4407D">
              <w:rPr>
                <w:rFonts w:cstheme="minorHAnsi"/>
                <w:b/>
                <w:sz w:val="20"/>
                <w:szCs w:val="20"/>
              </w:rPr>
              <w:t>65%</w:t>
            </w:r>
          </w:p>
        </w:tc>
      </w:tr>
      <w:tr w:rsidR="00D72B3D" w:rsidRPr="00A4407D" w14:paraId="4467ACC2" w14:textId="77777777" w:rsidTr="00A4407D">
        <w:trPr>
          <w:trHeight w:val="210"/>
        </w:trPr>
        <w:tc>
          <w:tcPr>
            <w:tcW w:w="4673" w:type="dxa"/>
            <w:shd w:val="clear" w:color="auto" w:fill="FFFFFF" w:themeFill="background1"/>
            <w:vAlign w:val="center"/>
          </w:tcPr>
          <w:p w14:paraId="6208E4A6" w14:textId="3F3F1856" w:rsidR="00D72B3D" w:rsidRPr="00A4407D" w:rsidRDefault="00D72B3D" w:rsidP="00A4407D">
            <w:pPr>
              <w:pStyle w:val="Bezodstpw"/>
              <w:spacing w:line="276" w:lineRule="auto"/>
              <w:jc w:val="right"/>
              <w:rPr>
                <w:rFonts w:cstheme="minorHAnsi"/>
                <w:b/>
                <w:sz w:val="20"/>
                <w:szCs w:val="20"/>
              </w:rPr>
            </w:pPr>
            <w:r w:rsidRPr="00A4407D">
              <w:rPr>
                <w:rFonts w:cstheme="minorHAnsi"/>
                <w:b/>
                <w:sz w:val="20"/>
                <w:szCs w:val="20"/>
              </w:rPr>
              <w:t>Zwiększenie efektywności o min. 40% w porównaniu z sytuacją sprzed inwestycji</w:t>
            </w:r>
            <w:r w:rsidR="00A4407D">
              <w:rPr>
                <w:rFonts w:cstheme="minorHAnsi"/>
                <w:b/>
                <w:sz w:val="20"/>
                <w:szCs w:val="20"/>
              </w:rPr>
              <w:t>:</w:t>
            </w:r>
            <w:r w:rsidRPr="00A4407D">
              <w:rPr>
                <w:rFonts w:cstheme="minorHAnsi"/>
                <w:b/>
                <w:sz w:val="20"/>
                <w:szCs w:val="20"/>
              </w:rPr>
              <w:t xml:space="preserve"> poza obszarem „a” i „c”</w:t>
            </w:r>
          </w:p>
        </w:tc>
        <w:tc>
          <w:tcPr>
            <w:tcW w:w="1559" w:type="dxa"/>
            <w:shd w:val="clear" w:color="auto" w:fill="FFFFFF" w:themeFill="background1"/>
            <w:vAlign w:val="center"/>
          </w:tcPr>
          <w:p w14:paraId="0A388F0C" w14:textId="77777777" w:rsidR="00D72B3D" w:rsidRPr="00A4407D" w:rsidRDefault="00D72B3D" w:rsidP="00A4407D">
            <w:pPr>
              <w:pStyle w:val="Bezodstpw"/>
              <w:spacing w:line="276" w:lineRule="auto"/>
              <w:jc w:val="center"/>
              <w:rPr>
                <w:rFonts w:cstheme="minorHAnsi"/>
                <w:b/>
                <w:sz w:val="20"/>
                <w:szCs w:val="20"/>
              </w:rPr>
            </w:pPr>
            <w:r w:rsidRPr="00A4407D">
              <w:rPr>
                <w:rFonts w:cstheme="minorHAnsi"/>
                <w:b/>
                <w:sz w:val="20"/>
                <w:szCs w:val="20"/>
              </w:rPr>
              <w:t>40%</w:t>
            </w:r>
          </w:p>
        </w:tc>
        <w:tc>
          <w:tcPr>
            <w:tcW w:w="1701" w:type="dxa"/>
            <w:shd w:val="clear" w:color="auto" w:fill="FFFFFF" w:themeFill="background1"/>
            <w:vAlign w:val="center"/>
          </w:tcPr>
          <w:p w14:paraId="36D47190" w14:textId="77777777" w:rsidR="00D72B3D" w:rsidRPr="00A4407D" w:rsidRDefault="00D72B3D" w:rsidP="00A4407D">
            <w:pPr>
              <w:pStyle w:val="Bezodstpw"/>
              <w:spacing w:line="276" w:lineRule="auto"/>
              <w:jc w:val="center"/>
              <w:rPr>
                <w:rFonts w:cstheme="minorHAnsi"/>
                <w:b/>
                <w:sz w:val="20"/>
                <w:szCs w:val="20"/>
              </w:rPr>
            </w:pPr>
            <w:r w:rsidRPr="00A4407D">
              <w:rPr>
                <w:rFonts w:cstheme="minorHAnsi"/>
                <w:b/>
                <w:sz w:val="20"/>
                <w:szCs w:val="20"/>
              </w:rPr>
              <w:t>50%</w:t>
            </w:r>
          </w:p>
        </w:tc>
        <w:tc>
          <w:tcPr>
            <w:tcW w:w="1560" w:type="dxa"/>
            <w:shd w:val="clear" w:color="auto" w:fill="FFFFFF" w:themeFill="background1"/>
            <w:vAlign w:val="center"/>
          </w:tcPr>
          <w:p w14:paraId="0F156F9E" w14:textId="77777777" w:rsidR="00D72B3D" w:rsidRPr="00A4407D" w:rsidRDefault="00D72B3D" w:rsidP="00A4407D">
            <w:pPr>
              <w:pStyle w:val="Bezodstpw"/>
              <w:spacing w:line="276" w:lineRule="auto"/>
              <w:jc w:val="center"/>
              <w:rPr>
                <w:rFonts w:cstheme="minorHAnsi"/>
                <w:b/>
                <w:sz w:val="20"/>
                <w:szCs w:val="20"/>
              </w:rPr>
            </w:pPr>
            <w:r w:rsidRPr="00A4407D">
              <w:rPr>
                <w:rFonts w:cstheme="minorHAnsi"/>
                <w:b/>
                <w:sz w:val="20"/>
                <w:szCs w:val="20"/>
              </w:rPr>
              <w:t>60%</w:t>
            </w:r>
          </w:p>
        </w:tc>
      </w:tr>
      <w:tr w:rsidR="00D72B3D" w:rsidRPr="00A4407D" w14:paraId="0C4B7BE5" w14:textId="77777777" w:rsidTr="00A4407D">
        <w:trPr>
          <w:trHeight w:val="413"/>
        </w:trPr>
        <w:tc>
          <w:tcPr>
            <w:tcW w:w="9493" w:type="dxa"/>
            <w:gridSpan w:val="4"/>
            <w:tcBorders>
              <w:bottom w:val="single" w:sz="4" w:space="0" w:color="auto"/>
            </w:tcBorders>
            <w:shd w:val="clear" w:color="auto" w:fill="D9E2F3" w:themeFill="accent1" w:themeFillTint="33"/>
            <w:vAlign w:val="center"/>
          </w:tcPr>
          <w:p w14:paraId="04E97C20" w14:textId="681ADDC5" w:rsidR="00D72B3D" w:rsidRPr="00A4407D" w:rsidRDefault="00662A2C" w:rsidP="00EF6065">
            <w:pPr>
              <w:pStyle w:val="Bezodstpw"/>
              <w:shd w:val="clear" w:color="auto" w:fill="D9E2F3" w:themeFill="accent1" w:themeFillTint="33"/>
              <w:spacing w:line="276" w:lineRule="auto"/>
              <w:ind w:left="311"/>
              <w:rPr>
                <w:b/>
                <w:sz w:val="20"/>
                <w:szCs w:val="20"/>
              </w:rPr>
            </w:pPr>
            <w:r>
              <w:rPr>
                <w:rFonts w:cstheme="minorHAnsi"/>
                <w:b/>
                <w:sz w:val="20"/>
                <w:szCs w:val="20"/>
                <w:lang w:eastAsia="pl-PL"/>
              </w:rPr>
              <w:t xml:space="preserve">b) </w:t>
            </w:r>
            <w:r w:rsidR="00D72B3D" w:rsidRPr="00A4407D">
              <w:rPr>
                <w:rFonts w:cstheme="minorHAnsi"/>
                <w:b/>
                <w:sz w:val="20"/>
                <w:szCs w:val="20"/>
                <w:lang w:eastAsia="pl-PL"/>
              </w:rPr>
              <w:t>Art. 38a</w:t>
            </w:r>
            <w:r w:rsidR="00D72B3D" w:rsidRPr="00A4407D">
              <w:rPr>
                <w:b/>
                <w:sz w:val="20"/>
                <w:szCs w:val="20"/>
              </w:rPr>
              <w:t xml:space="preserve"> </w:t>
            </w:r>
            <w:r w:rsidR="00D72B3D" w:rsidRPr="00A4407D">
              <w:rPr>
                <w:rFonts w:cstheme="minorHAnsi"/>
                <w:bCs/>
                <w:sz w:val="20"/>
                <w:szCs w:val="20"/>
              </w:rPr>
              <w:t xml:space="preserve">rozporządzenia Komisji (UE) nr 651/2014 - </w:t>
            </w:r>
            <w:r w:rsidR="00D72B3D" w:rsidRPr="00A4407D">
              <w:rPr>
                <w:rFonts w:cstheme="minorHAnsi"/>
                <w:sz w:val="20"/>
                <w:szCs w:val="20"/>
              </w:rPr>
              <w:t>inwestycj</w:t>
            </w:r>
            <w:r w:rsidR="00ED7782">
              <w:rPr>
                <w:rFonts w:cstheme="minorHAnsi"/>
                <w:sz w:val="20"/>
                <w:szCs w:val="20"/>
              </w:rPr>
              <w:t>e</w:t>
            </w:r>
            <w:r w:rsidR="00D72B3D" w:rsidRPr="00A4407D">
              <w:rPr>
                <w:sz w:val="20"/>
                <w:szCs w:val="20"/>
              </w:rPr>
              <w:t xml:space="preserve"> </w:t>
            </w:r>
            <w:r w:rsidR="00D72B3D" w:rsidRPr="00A4407D">
              <w:rPr>
                <w:rFonts w:cstheme="minorHAnsi"/>
                <w:sz w:val="20"/>
                <w:szCs w:val="20"/>
              </w:rPr>
              <w:t>wspierając</w:t>
            </w:r>
            <w:r w:rsidR="00ED7782">
              <w:rPr>
                <w:rFonts w:cstheme="minorHAnsi"/>
                <w:sz w:val="20"/>
                <w:szCs w:val="20"/>
              </w:rPr>
              <w:t>e</w:t>
            </w:r>
            <w:r w:rsidR="00D72B3D" w:rsidRPr="00A4407D">
              <w:rPr>
                <w:rFonts w:cstheme="minorHAnsi"/>
                <w:sz w:val="20"/>
                <w:szCs w:val="20"/>
              </w:rPr>
              <w:t xml:space="preserve"> efektywność energetyczną w budynkach, inne niż wskazane w pkt 3 lit. a)</w:t>
            </w:r>
          </w:p>
        </w:tc>
      </w:tr>
      <w:tr w:rsidR="00D72B3D" w:rsidRPr="00A4407D" w14:paraId="7607C611" w14:textId="77777777" w:rsidTr="00A4407D">
        <w:trPr>
          <w:trHeight w:val="70"/>
        </w:trPr>
        <w:tc>
          <w:tcPr>
            <w:tcW w:w="4673" w:type="dxa"/>
            <w:shd w:val="clear" w:color="auto" w:fill="FFFFFF" w:themeFill="background1"/>
            <w:vAlign w:val="center"/>
          </w:tcPr>
          <w:p w14:paraId="46DCB05F" w14:textId="77777777" w:rsidR="00D72B3D" w:rsidRPr="00A4407D" w:rsidRDefault="00D72B3D" w:rsidP="00A4407D">
            <w:pPr>
              <w:pStyle w:val="Bezodstpw"/>
              <w:spacing w:line="276" w:lineRule="auto"/>
              <w:jc w:val="right"/>
              <w:rPr>
                <w:b/>
                <w:sz w:val="20"/>
                <w:szCs w:val="20"/>
              </w:rPr>
            </w:pPr>
            <w:r w:rsidRPr="00A4407D">
              <w:rPr>
                <w:rFonts w:cstheme="minorHAnsi"/>
                <w:b/>
                <w:sz w:val="20"/>
                <w:szCs w:val="20"/>
              </w:rPr>
              <w:t>Obszar a*</w:t>
            </w:r>
          </w:p>
        </w:tc>
        <w:tc>
          <w:tcPr>
            <w:tcW w:w="1559" w:type="dxa"/>
            <w:shd w:val="clear" w:color="auto" w:fill="FFFFFF" w:themeFill="background1"/>
            <w:vAlign w:val="center"/>
          </w:tcPr>
          <w:p w14:paraId="1B66FE7C" w14:textId="77777777" w:rsidR="00D72B3D" w:rsidRPr="00A4407D" w:rsidRDefault="00D72B3D" w:rsidP="00A4407D">
            <w:pPr>
              <w:pStyle w:val="Bezodstpw"/>
              <w:spacing w:line="276" w:lineRule="auto"/>
              <w:jc w:val="center"/>
              <w:rPr>
                <w:b/>
                <w:sz w:val="20"/>
                <w:szCs w:val="20"/>
              </w:rPr>
            </w:pPr>
            <w:r w:rsidRPr="00A4407D">
              <w:rPr>
                <w:b/>
                <w:sz w:val="20"/>
                <w:szCs w:val="20"/>
              </w:rPr>
              <w:t>45%</w:t>
            </w:r>
          </w:p>
        </w:tc>
        <w:tc>
          <w:tcPr>
            <w:tcW w:w="1701" w:type="dxa"/>
            <w:shd w:val="clear" w:color="auto" w:fill="FFFFFF" w:themeFill="background1"/>
            <w:vAlign w:val="center"/>
          </w:tcPr>
          <w:p w14:paraId="593DA9F2" w14:textId="77777777" w:rsidR="00D72B3D" w:rsidRPr="00A4407D" w:rsidRDefault="00D72B3D" w:rsidP="00A4407D">
            <w:pPr>
              <w:pStyle w:val="Bezodstpw"/>
              <w:spacing w:line="276" w:lineRule="auto"/>
              <w:jc w:val="center"/>
              <w:rPr>
                <w:b/>
                <w:sz w:val="20"/>
                <w:szCs w:val="20"/>
              </w:rPr>
            </w:pPr>
            <w:r w:rsidRPr="00A4407D">
              <w:rPr>
                <w:b/>
                <w:sz w:val="20"/>
                <w:szCs w:val="20"/>
              </w:rPr>
              <w:t>55%</w:t>
            </w:r>
          </w:p>
        </w:tc>
        <w:tc>
          <w:tcPr>
            <w:tcW w:w="1560" w:type="dxa"/>
            <w:shd w:val="clear" w:color="auto" w:fill="FFFFFF" w:themeFill="background1"/>
            <w:vAlign w:val="center"/>
          </w:tcPr>
          <w:p w14:paraId="2DAD8D05" w14:textId="77777777" w:rsidR="00D72B3D" w:rsidRPr="00A4407D" w:rsidRDefault="00D72B3D" w:rsidP="00A4407D">
            <w:pPr>
              <w:pStyle w:val="Bezodstpw"/>
              <w:spacing w:line="276" w:lineRule="auto"/>
              <w:jc w:val="center"/>
              <w:rPr>
                <w:b/>
                <w:sz w:val="20"/>
                <w:szCs w:val="20"/>
              </w:rPr>
            </w:pPr>
            <w:r w:rsidRPr="00A4407D">
              <w:rPr>
                <w:b/>
                <w:sz w:val="20"/>
                <w:szCs w:val="20"/>
              </w:rPr>
              <w:t>65%</w:t>
            </w:r>
          </w:p>
        </w:tc>
      </w:tr>
      <w:tr w:rsidR="00D72B3D" w:rsidRPr="00A4407D" w14:paraId="3AFA12A9" w14:textId="77777777" w:rsidTr="00A4407D">
        <w:trPr>
          <w:trHeight w:val="70"/>
        </w:trPr>
        <w:tc>
          <w:tcPr>
            <w:tcW w:w="4673" w:type="dxa"/>
            <w:shd w:val="clear" w:color="auto" w:fill="FFFFFF" w:themeFill="background1"/>
            <w:vAlign w:val="center"/>
          </w:tcPr>
          <w:p w14:paraId="23465E6F" w14:textId="77777777" w:rsidR="00D72B3D" w:rsidRPr="00A4407D" w:rsidRDefault="00D72B3D" w:rsidP="00A4407D">
            <w:pPr>
              <w:pStyle w:val="Bezodstpw"/>
              <w:spacing w:line="276" w:lineRule="auto"/>
              <w:jc w:val="right"/>
              <w:rPr>
                <w:rFonts w:cstheme="minorHAnsi"/>
                <w:b/>
                <w:sz w:val="20"/>
                <w:szCs w:val="20"/>
              </w:rPr>
            </w:pPr>
            <w:r w:rsidRPr="00A4407D">
              <w:rPr>
                <w:rFonts w:cstheme="minorHAnsi"/>
                <w:b/>
                <w:sz w:val="20"/>
                <w:szCs w:val="20"/>
              </w:rPr>
              <w:t>Obszar c**</w:t>
            </w:r>
          </w:p>
        </w:tc>
        <w:tc>
          <w:tcPr>
            <w:tcW w:w="1559" w:type="dxa"/>
            <w:shd w:val="clear" w:color="auto" w:fill="FFFFFF" w:themeFill="background1"/>
            <w:vAlign w:val="center"/>
          </w:tcPr>
          <w:p w14:paraId="5DA17D4C" w14:textId="77777777" w:rsidR="00D72B3D" w:rsidRPr="00A4407D" w:rsidRDefault="00D72B3D" w:rsidP="00A4407D">
            <w:pPr>
              <w:pStyle w:val="Bezodstpw"/>
              <w:spacing w:line="276" w:lineRule="auto"/>
              <w:jc w:val="center"/>
              <w:rPr>
                <w:b/>
                <w:sz w:val="20"/>
                <w:szCs w:val="20"/>
              </w:rPr>
            </w:pPr>
            <w:r w:rsidRPr="00A4407D">
              <w:rPr>
                <w:b/>
                <w:sz w:val="20"/>
                <w:szCs w:val="20"/>
              </w:rPr>
              <w:t>35%</w:t>
            </w:r>
          </w:p>
        </w:tc>
        <w:tc>
          <w:tcPr>
            <w:tcW w:w="1701" w:type="dxa"/>
            <w:shd w:val="clear" w:color="auto" w:fill="FFFFFF" w:themeFill="background1"/>
            <w:vAlign w:val="center"/>
          </w:tcPr>
          <w:p w14:paraId="1750B690" w14:textId="77777777" w:rsidR="00D72B3D" w:rsidRPr="00A4407D" w:rsidRDefault="00D72B3D" w:rsidP="00A4407D">
            <w:pPr>
              <w:pStyle w:val="Bezodstpw"/>
              <w:spacing w:line="276" w:lineRule="auto"/>
              <w:jc w:val="center"/>
              <w:rPr>
                <w:b/>
                <w:sz w:val="20"/>
                <w:szCs w:val="20"/>
              </w:rPr>
            </w:pPr>
            <w:r w:rsidRPr="00A4407D">
              <w:rPr>
                <w:b/>
                <w:sz w:val="20"/>
                <w:szCs w:val="20"/>
              </w:rPr>
              <w:t>45%</w:t>
            </w:r>
          </w:p>
        </w:tc>
        <w:tc>
          <w:tcPr>
            <w:tcW w:w="1560" w:type="dxa"/>
            <w:shd w:val="clear" w:color="auto" w:fill="FFFFFF" w:themeFill="background1"/>
            <w:vAlign w:val="center"/>
          </w:tcPr>
          <w:p w14:paraId="0E785FA6" w14:textId="77777777" w:rsidR="00D72B3D" w:rsidRPr="00A4407D" w:rsidRDefault="00D72B3D" w:rsidP="00A4407D">
            <w:pPr>
              <w:pStyle w:val="Bezodstpw"/>
              <w:spacing w:line="276" w:lineRule="auto"/>
              <w:jc w:val="center"/>
              <w:rPr>
                <w:b/>
                <w:sz w:val="20"/>
                <w:szCs w:val="20"/>
              </w:rPr>
            </w:pPr>
            <w:r w:rsidRPr="00A4407D">
              <w:rPr>
                <w:b/>
                <w:sz w:val="20"/>
                <w:szCs w:val="20"/>
              </w:rPr>
              <w:t>55%</w:t>
            </w:r>
          </w:p>
        </w:tc>
      </w:tr>
      <w:tr w:rsidR="00D72B3D" w:rsidRPr="00A4407D" w14:paraId="55986C2D" w14:textId="77777777" w:rsidTr="00A4407D">
        <w:trPr>
          <w:trHeight w:val="70"/>
        </w:trPr>
        <w:tc>
          <w:tcPr>
            <w:tcW w:w="4673" w:type="dxa"/>
            <w:shd w:val="clear" w:color="auto" w:fill="FFFFFF" w:themeFill="background1"/>
            <w:vAlign w:val="center"/>
          </w:tcPr>
          <w:p w14:paraId="26AAAF71" w14:textId="77777777" w:rsidR="00D72B3D" w:rsidRPr="00A4407D" w:rsidRDefault="00D72B3D" w:rsidP="00A4407D">
            <w:pPr>
              <w:pStyle w:val="Bezodstpw"/>
              <w:spacing w:line="276" w:lineRule="auto"/>
              <w:jc w:val="right"/>
              <w:rPr>
                <w:rFonts w:cstheme="minorHAnsi"/>
                <w:b/>
                <w:sz w:val="20"/>
                <w:szCs w:val="20"/>
              </w:rPr>
            </w:pPr>
            <w:r w:rsidRPr="00A4407D">
              <w:rPr>
                <w:rFonts w:cstheme="minorHAnsi"/>
                <w:b/>
                <w:sz w:val="20"/>
                <w:szCs w:val="20"/>
              </w:rPr>
              <w:t>Poza obszarem „a” i „c”***</w:t>
            </w:r>
          </w:p>
        </w:tc>
        <w:tc>
          <w:tcPr>
            <w:tcW w:w="1559" w:type="dxa"/>
            <w:shd w:val="clear" w:color="auto" w:fill="FFFFFF" w:themeFill="background1"/>
            <w:vAlign w:val="center"/>
          </w:tcPr>
          <w:p w14:paraId="7D1957EA" w14:textId="77777777" w:rsidR="00D72B3D" w:rsidRPr="00A4407D" w:rsidRDefault="00D72B3D" w:rsidP="00A4407D">
            <w:pPr>
              <w:pStyle w:val="Bezodstpw"/>
              <w:spacing w:line="276" w:lineRule="auto"/>
              <w:jc w:val="center"/>
              <w:rPr>
                <w:b/>
                <w:sz w:val="20"/>
                <w:szCs w:val="20"/>
              </w:rPr>
            </w:pPr>
            <w:r w:rsidRPr="00A4407D">
              <w:rPr>
                <w:b/>
                <w:sz w:val="20"/>
                <w:szCs w:val="20"/>
              </w:rPr>
              <w:t>30%</w:t>
            </w:r>
          </w:p>
        </w:tc>
        <w:tc>
          <w:tcPr>
            <w:tcW w:w="1701" w:type="dxa"/>
            <w:shd w:val="clear" w:color="auto" w:fill="FFFFFF" w:themeFill="background1"/>
            <w:vAlign w:val="center"/>
          </w:tcPr>
          <w:p w14:paraId="504EB25B" w14:textId="77777777" w:rsidR="00D72B3D" w:rsidRPr="00A4407D" w:rsidRDefault="00D72B3D" w:rsidP="00A4407D">
            <w:pPr>
              <w:pStyle w:val="Bezodstpw"/>
              <w:spacing w:line="276" w:lineRule="auto"/>
              <w:jc w:val="center"/>
              <w:rPr>
                <w:b/>
                <w:sz w:val="20"/>
                <w:szCs w:val="20"/>
              </w:rPr>
            </w:pPr>
            <w:r w:rsidRPr="00A4407D">
              <w:rPr>
                <w:b/>
                <w:sz w:val="20"/>
                <w:szCs w:val="20"/>
              </w:rPr>
              <w:t>40%</w:t>
            </w:r>
          </w:p>
        </w:tc>
        <w:tc>
          <w:tcPr>
            <w:tcW w:w="1560" w:type="dxa"/>
            <w:shd w:val="clear" w:color="auto" w:fill="FFFFFF" w:themeFill="background1"/>
            <w:vAlign w:val="center"/>
          </w:tcPr>
          <w:p w14:paraId="761D1AC2" w14:textId="77777777" w:rsidR="00D72B3D" w:rsidRPr="00A4407D" w:rsidRDefault="00D72B3D" w:rsidP="00A4407D">
            <w:pPr>
              <w:pStyle w:val="Bezodstpw"/>
              <w:spacing w:line="276" w:lineRule="auto"/>
              <w:jc w:val="center"/>
              <w:rPr>
                <w:b/>
                <w:sz w:val="20"/>
                <w:szCs w:val="20"/>
              </w:rPr>
            </w:pPr>
            <w:r w:rsidRPr="00A4407D">
              <w:rPr>
                <w:b/>
                <w:sz w:val="20"/>
                <w:szCs w:val="20"/>
              </w:rPr>
              <w:t>50%</w:t>
            </w:r>
          </w:p>
        </w:tc>
      </w:tr>
      <w:tr w:rsidR="00D72B3D" w:rsidRPr="00A4407D" w14:paraId="7EA31BAE" w14:textId="77777777" w:rsidTr="00A4407D">
        <w:trPr>
          <w:trHeight w:val="70"/>
        </w:trPr>
        <w:tc>
          <w:tcPr>
            <w:tcW w:w="4673" w:type="dxa"/>
            <w:shd w:val="clear" w:color="auto" w:fill="FFFFFF" w:themeFill="background1"/>
            <w:vAlign w:val="center"/>
          </w:tcPr>
          <w:p w14:paraId="537AE32C" w14:textId="4B452A20" w:rsidR="00D72B3D" w:rsidRPr="00A4407D" w:rsidRDefault="00D72B3D" w:rsidP="00A4407D">
            <w:pPr>
              <w:pStyle w:val="Bezodstpw"/>
              <w:spacing w:line="276" w:lineRule="auto"/>
              <w:jc w:val="right"/>
              <w:rPr>
                <w:rFonts w:cstheme="minorHAnsi"/>
                <w:b/>
                <w:sz w:val="20"/>
                <w:szCs w:val="20"/>
              </w:rPr>
            </w:pPr>
            <w:r w:rsidRPr="00A4407D">
              <w:rPr>
                <w:rFonts w:cstheme="minorHAnsi"/>
                <w:b/>
                <w:sz w:val="20"/>
                <w:szCs w:val="20"/>
              </w:rPr>
              <w:t>Zwiększenie efektywność o min. 40% w porównaniu z sytuacją sprzed inwestycji</w:t>
            </w:r>
            <w:r w:rsidR="00A4407D">
              <w:rPr>
                <w:rFonts w:cstheme="minorHAnsi"/>
                <w:b/>
                <w:sz w:val="20"/>
                <w:szCs w:val="20"/>
              </w:rPr>
              <w:t>:</w:t>
            </w:r>
            <w:r w:rsidRPr="00A4407D">
              <w:rPr>
                <w:rFonts w:cstheme="minorHAnsi"/>
                <w:b/>
                <w:sz w:val="20"/>
                <w:szCs w:val="20"/>
              </w:rPr>
              <w:t xml:space="preserve"> obszar a</w:t>
            </w:r>
          </w:p>
        </w:tc>
        <w:tc>
          <w:tcPr>
            <w:tcW w:w="1559" w:type="dxa"/>
            <w:shd w:val="clear" w:color="auto" w:fill="FFFFFF" w:themeFill="background1"/>
            <w:vAlign w:val="center"/>
          </w:tcPr>
          <w:p w14:paraId="2C69ED3F" w14:textId="77777777" w:rsidR="00D72B3D" w:rsidRPr="00A4407D" w:rsidRDefault="00D72B3D" w:rsidP="00A4407D">
            <w:pPr>
              <w:pStyle w:val="Bezodstpw"/>
              <w:spacing w:line="276" w:lineRule="auto"/>
              <w:jc w:val="center"/>
              <w:rPr>
                <w:rFonts w:cstheme="minorHAnsi"/>
                <w:b/>
                <w:sz w:val="20"/>
                <w:szCs w:val="20"/>
              </w:rPr>
            </w:pPr>
            <w:r w:rsidRPr="00A4407D">
              <w:rPr>
                <w:rFonts w:cstheme="minorHAnsi"/>
                <w:b/>
                <w:sz w:val="20"/>
                <w:szCs w:val="20"/>
              </w:rPr>
              <w:t>60%</w:t>
            </w:r>
          </w:p>
        </w:tc>
        <w:tc>
          <w:tcPr>
            <w:tcW w:w="1701" w:type="dxa"/>
            <w:shd w:val="clear" w:color="auto" w:fill="FFFFFF" w:themeFill="background1"/>
            <w:vAlign w:val="center"/>
          </w:tcPr>
          <w:p w14:paraId="76BF50B1" w14:textId="77777777" w:rsidR="00D72B3D" w:rsidRPr="00A4407D" w:rsidRDefault="00D72B3D" w:rsidP="00A4407D">
            <w:pPr>
              <w:pStyle w:val="Bezodstpw"/>
              <w:spacing w:line="276" w:lineRule="auto"/>
              <w:jc w:val="center"/>
              <w:rPr>
                <w:rFonts w:cstheme="minorHAnsi"/>
                <w:b/>
                <w:sz w:val="20"/>
                <w:szCs w:val="20"/>
              </w:rPr>
            </w:pPr>
            <w:r w:rsidRPr="00A4407D">
              <w:rPr>
                <w:rFonts w:cstheme="minorHAnsi"/>
                <w:b/>
                <w:sz w:val="20"/>
                <w:szCs w:val="20"/>
              </w:rPr>
              <w:t>70%</w:t>
            </w:r>
          </w:p>
        </w:tc>
        <w:tc>
          <w:tcPr>
            <w:tcW w:w="1560" w:type="dxa"/>
            <w:shd w:val="clear" w:color="auto" w:fill="FFFFFF" w:themeFill="background1"/>
            <w:vAlign w:val="center"/>
          </w:tcPr>
          <w:p w14:paraId="24878918" w14:textId="77777777" w:rsidR="00D72B3D" w:rsidRPr="00A4407D" w:rsidRDefault="00D72B3D" w:rsidP="00A4407D">
            <w:pPr>
              <w:pStyle w:val="Bezodstpw"/>
              <w:spacing w:line="276" w:lineRule="auto"/>
              <w:jc w:val="center"/>
              <w:rPr>
                <w:rFonts w:cstheme="minorHAnsi"/>
                <w:b/>
                <w:sz w:val="20"/>
                <w:szCs w:val="20"/>
              </w:rPr>
            </w:pPr>
            <w:r w:rsidRPr="00A4407D">
              <w:rPr>
                <w:rFonts w:cstheme="minorHAnsi"/>
                <w:b/>
                <w:sz w:val="20"/>
                <w:szCs w:val="20"/>
              </w:rPr>
              <w:t>80%</w:t>
            </w:r>
          </w:p>
        </w:tc>
      </w:tr>
      <w:tr w:rsidR="00D72B3D" w:rsidRPr="00A4407D" w14:paraId="5B74CF99" w14:textId="77777777" w:rsidTr="00A4407D">
        <w:trPr>
          <w:trHeight w:val="70"/>
        </w:trPr>
        <w:tc>
          <w:tcPr>
            <w:tcW w:w="4673" w:type="dxa"/>
            <w:shd w:val="clear" w:color="auto" w:fill="FFFFFF" w:themeFill="background1"/>
            <w:vAlign w:val="center"/>
          </w:tcPr>
          <w:p w14:paraId="5269EABB" w14:textId="73BA380C" w:rsidR="00D72B3D" w:rsidRPr="00A4407D" w:rsidRDefault="00D72B3D" w:rsidP="00A4407D">
            <w:pPr>
              <w:pStyle w:val="Bezodstpw"/>
              <w:spacing w:line="276" w:lineRule="auto"/>
              <w:jc w:val="right"/>
              <w:rPr>
                <w:rFonts w:cstheme="minorHAnsi"/>
                <w:b/>
                <w:sz w:val="20"/>
                <w:szCs w:val="20"/>
              </w:rPr>
            </w:pPr>
            <w:r w:rsidRPr="00A4407D">
              <w:rPr>
                <w:rFonts w:cstheme="minorHAnsi"/>
                <w:b/>
                <w:sz w:val="20"/>
                <w:szCs w:val="20"/>
              </w:rPr>
              <w:lastRenderedPageBreak/>
              <w:t>Zwiększenie efektywność o min. 40% w porównaniu z sytuacją sprzed inwestycji</w:t>
            </w:r>
            <w:r w:rsidR="00A4407D">
              <w:rPr>
                <w:rFonts w:cstheme="minorHAnsi"/>
                <w:b/>
                <w:sz w:val="20"/>
                <w:szCs w:val="20"/>
              </w:rPr>
              <w:t>:</w:t>
            </w:r>
            <w:r w:rsidRPr="00A4407D">
              <w:rPr>
                <w:rFonts w:cstheme="minorHAnsi"/>
                <w:b/>
                <w:sz w:val="20"/>
                <w:szCs w:val="20"/>
              </w:rPr>
              <w:t xml:space="preserve"> obszar c</w:t>
            </w:r>
          </w:p>
        </w:tc>
        <w:tc>
          <w:tcPr>
            <w:tcW w:w="1559" w:type="dxa"/>
            <w:shd w:val="clear" w:color="auto" w:fill="FFFFFF" w:themeFill="background1"/>
            <w:vAlign w:val="center"/>
          </w:tcPr>
          <w:p w14:paraId="445EDFF9" w14:textId="77777777" w:rsidR="00D72B3D" w:rsidRPr="00A4407D" w:rsidRDefault="00D72B3D" w:rsidP="00A4407D">
            <w:pPr>
              <w:pStyle w:val="Bezodstpw"/>
              <w:spacing w:line="276" w:lineRule="auto"/>
              <w:jc w:val="center"/>
              <w:rPr>
                <w:rFonts w:cstheme="minorHAnsi"/>
                <w:b/>
                <w:sz w:val="20"/>
                <w:szCs w:val="20"/>
              </w:rPr>
            </w:pPr>
            <w:r w:rsidRPr="00A4407D">
              <w:rPr>
                <w:rFonts w:cstheme="minorHAnsi"/>
                <w:b/>
                <w:sz w:val="20"/>
                <w:szCs w:val="20"/>
              </w:rPr>
              <w:t>50%</w:t>
            </w:r>
          </w:p>
        </w:tc>
        <w:tc>
          <w:tcPr>
            <w:tcW w:w="1701" w:type="dxa"/>
            <w:shd w:val="clear" w:color="auto" w:fill="FFFFFF" w:themeFill="background1"/>
            <w:vAlign w:val="center"/>
          </w:tcPr>
          <w:p w14:paraId="06C33DB6" w14:textId="77777777" w:rsidR="00D72B3D" w:rsidRPr="00A4407D" w:rsidRDefault="00D72B3D" w:rsidP="00A4407D">
            <w:pPr>
              <w:pStyle w:val="Bezodstpw"/>
              <w:spacing w:line="276" w:lineRule="auto"/>
              <w:jc w:val="center"/>
              <w:rPr>
                <w:rFonts w:cstheme="minorHAnsi"/>
                <w:b/>
                <w:sz w:val="20"/>
                <w:szCs w:val="20"/>
              </w:rPr>
            </w:pPr>
            <w:r w:rsidRPr="00A4407D">
              <w:rPr>
                <w:rFonts w:cstheme="minorHAnsi"/>
                <w:b/>
                <w:sz w:val="20"/>
                <w:szCs w:val="20"/>
              </w:rPr>
              <w:t>60%</w:t>
            </w:r>
          </w:p>
        </w:tc>
        <w:tc>
          <w:tcPr>
            <w:tcW w:w="1560" w:type="dxa"/>
            <w:shd w:val="clear" w:color="auto" w:fill="FFFFFF" w:themeFill="background1"/>
            <w:vAlign w:val="center"/>
          </w:tcPr>
          <w:p w14:paraId="0B2311F6" w14:textId="77777777" w:rsidR="00D72B3D" w:rsidRPr="00A4407D" w:rsidRDefault="00D72B3D" w:rsidP="00A4407D">
            <w:pPr>
              <w:pStyle w:val="Bezodstpw"/>
              <w:spacing w:line="276" w:lineRule="auto"/>
              <w:jc w:val="center"/>
              <w:rPr>
                <w:rFonts w:cstheme="minorHAnsi"/>
                <w:b/>
                <w:sz w:val="20"/>
                <w:szCs w:val="20"/>
              </w:rPr>
            </w:pPr>
            <w:r w:rsidRPr="00A4407D">
              <w:rPr>
                <w:rFonts w:cstheme="minorHAnsi"/>
                <w:b/>
                <w:sz w:val="20"/>
                <w:szCs w:val="20"/>
              </w:rPr>
              <w:t>70%</w:t>
            </w:r>
          </w:p>
        </w:tc>
      </w:tr>
      <w:tr w:rsidR="00D72B3D" w:rsidRPr="00A4407D" w14:paraId="2B5646CD" w14:textId="77777777" w:rsidTr="00A4407D">
        <w:trPr>
          <w:trHeight w:val="70"/>
        </w:trPr>
        <w:tc>
          <w:tcPr>
            <w:tcW w:w="4673" w:type="dxa"/>
            <w:shd w:val="clear" w:color="auto" w:fill="FFFFFF" w:themeFill="background1"/>
            <w:vAlign w:val="center"/>
          </w:tcPr>
          <w:p w14:paraId="2B4D1A7E" w14:textId="28B1276C" w:rsidR="00D72B3D" w:rsidRPr="00A4407D" w:rsidRDefault="00D72B3D" w:rsidP="00A4407D">
            <w:pPr>
              <w:pStyle w:val="Bezodstpw"/>
              <w:spacing w:line="276" w:lineRule="auto"/>
              <w:jc w:val="right"/>
              <w:rPr>
                <w:rFonts w:cstheme="minorHAnsi"/>
                <w:b/>
                <w:sz w:val="20"/>
                <w:szCs w:val="20"/>
              </w:rPr>
            </w:pPr>
            <w:r w:rsidRPr="00A4407D">
              <w:rPr>
                <w:rFonts w:cstheme="minorHAnsi"/>
                <w:b/>
                <w:sz w:val="20"/>
                <w:szCs w:val="20"/>
              </w:rPr>
              <w:t>Zwiększenie efektywność o min. 40% w porównaniu z sytuacją sprzed inwestycji</w:t>
            </w:r>
            <w:r w:rsidR="00A4407D">
              <w:rPr>
                <w:rFonts w:cstheme="minorHAnsi"/>
                <w:b/>
                <w:sz w:val="20"/>
                <w:szCs w:val="20"/>
              </w:rPr>
              <w:t>:</w:t>
            </w:r>
            <w:r w:rsidRPr="00A4407D">
              <w:rPr>
                <w:rFonts w:cstheme="minorHAnsi"/>
                <w:b/>
                <w:sz w:val="20"/>
                <w:szCs w:val="20"/>
              </w:rPr>
              <w:t xml:space="preserve"> poza obszarem „a” i „c”</w:t>
            </w:r>
          </w:p>
        </w:tc>
        <w:tc>
          <w:tcPr>
            <w:tcW w:w="1559" w:type="dxa"/>
            <w:shd w:val="clear" w:color="auto" w:fill="FFFFFF" w:themeFill="background1"/>
            <w:vAlign w:val="center"/>
          </w:tcPr>
          <w:p w14:paraId="47FE1B8E" w14:textId="77777777" w:rsidR="00D72B3D" w:rsidRPr="00A4407D" w:rsidRDefault="00D72B3D" w:rsidP="00A4407D">
            <w:pPr>
              <w:pStyle w:val="Bezodstpw"/>
              <w:spacing w:line="276" w:lineRule="auto"/>
              <w:jc w:val="center"/>
              <w:rPr>
                <w:rFonts w:cstheme="minorHAnsi"/>
                <w:b/>
                <w:sz w:val="20"/>
                <w:szCs w:val="20"/>
              </w:rPr>
            </w:pPr>
            <w:r w:rsidRPr="00A4407D">
              <w:rPr>
                <w:rFonts w:cstheme="minorHAnsi"/>
                <w:b/>
                <w:sz w:val="20"/>
                <w:szCs w:val="20"/>
              </w:rPr>
              <w:t>45%</w:t>
            </w:r>
          </w:p>
        </w:tc>
        <w:tc>
          <w:tcPr>
            <w:tcW w:w="1701" w:type="dxa"/>
            <w:shd w:val="clear" w:color="auto" w:fill="FFFFFF" w:themeFill="background1"/>
            <w:vAlign w:val="center"/>
          </w:tcPr>
          <w:p w14:paraId="7A73F0DF" w14:textId="77777777" w:rsidR="00D72B3D" w:rsidRPr="00A4407D" w:rsidRDefault="00D72B3D" w:rsidP="00A4407D">
            <w:pPr>
              <w:pStyle w:val="Bezodstpw"/>
              <w:spacing w:line="276" w:lineRule="auto"/>
              <w:jc w:val="center"/>
              <w:rPr>
                <w:rFonts w:cstheme="minorHAnsi"/>
                <w:b/>
                <w:sz w:val="20"/>
                <w:szCs w:val="20"/>
              </w:rPr>
            </w:pPr>
            <w:r w:rsidRPr="00A4407D">
              <w:rPr>
                <w:rFonts w:cstheme="minorHAnsi"/>
                <w:b/>
                <w:sz w:val="20"/>
                <w:szCs w:val="20"/>
              </w:rPr>
              <w:t>55%</w:t>
            </w:r>
          </w:p>
        </w:tc>
        <w:tc>
          <w:tcPr>
            <w:tcW w:w="1560" w:type="dxa"/>
            <w:shd w:val="clear" w:color="auto" w:fill="FFFFFF" w:themeFill="background1"/>
            <w:vAlign w:val="center"/>
          </w:tcPr>
          <w:p w14:paraId="4CEC967E" w14:textId="77777777" w:rsidR="00D72B3D" w:rsidRPr="00A4407D" w:rsidRDefault="00D72B3D" w:rsidP="00A4407D">
            <w:pPr>
              <w:pStyle w:val="Bezodstpw"/>
              <w:spacing w:line="276" w:lineRule="auto"/>
              <w:jc w:val="center"/>
              <w:rPr>
                <w:rFonts w:cstheme="minorHAnsi"/>
                <w:b/>
                <w:sz w:val="20"/>
                <w:szCs w:val="20"/>
              </w:rPr>
            </w:pPr>
            <w:r w:rsidRPr="00A4407D">
              <w:rPr>
                <w:rFonts w:cstheme="minorHAnsi"/>
                <w:b/>
                <w:sz w:val="20"/>
                <w:szCs w:val="20"/>
              </w:rPr>
              <w:t>65%</w:t>
            </w:r>
          </w:p>
        </w:tc>
      </w:tr>
      <w:tr w:rsidR="00D72B3D" w:rsidRPr="00A4407D" w14:paraId="629C7EE6" w14:textId="77777777" w:rsidTr="00A4407D">
        <w:trPr>
          <w:trHeight w:val="568"/>
        </w:trPr>
        <w:tc>
          <w:tcPr>
            <w:tcW w:w="9493" w:type="dxa"/>
            <w:gridSpan w:val="4"/>
            <w:shd w:val="clear" w:color="auto" w:fill="D9E2F3" w:themeFill="accent1" w:themeFillTint="33"/>
            <w:vAlign w:val="center"/>
          </w:tcPr>
          <w:p w14:paraId="27E6F6F3" w14:textId="64BEDE7E" w:rsidR="00D72B3D" w:rsidRPr="00A4407D" w:rsidRDefault="00D72B3D" w:rsidP="00941ED8">
            <w:pPr>
              <w:pStyle w:val="Bezodstpw"/>
              <w:numPr>
                <w:ilvl w:val="2"/>
                <w:numId w:val="3"/>
              </w:numPr>
              <w:spacing w:line="276" w:lineRule="auto"/>
              <w:ind w:left="311" w:hanging="284"/>
              <w:rPr>
                <w:rFonts w:cstheme="minorHAnsi"/>
                <w:b/>
                <w:sz w:val="20"/>
                <w:szCs w:val="20"/>
                <w:lang w:eastAsia="pl-PL"/>
              </w:rPr>
            </w:pPr>
            <w:bookmarkStart w:id="613" w:name="_Hlk167215914"/>
            <w:r w:rsidRPr="00A4407D">
              <w:rPr>
                <w:rFonts w:cstheme="minorHAnsi"/>
                <w:b/>
                <w:sz w:val="20"/>
                <w:szCs w:val="20"/>
                <w:lang w:eastAsia="pl-PL"/>
              </w:rPr>
              <w:t>Art. 41</w:t>
            </w:r>
            <w:r w:rsidRPr="00A4407D">
              <w:rPr>
                <w:rFonts w:cstheme="minorHAnsi"/>
                <w:sz w:val="20"/>
                <w:szCs w:val="20"/>
                <w:lang w:eastAsia="pl-PL"/>
              </w:rPr>
              <w:t xml:space="preserve"> </w:t>
            </w:r>
            <w:r w:rsidRPr="00A4407D">
              <w:rPr>
                <w:rFonts w:cstheme="minorHAnsi"/>
                <w:i/>
                <w:sz w:val="20"/>
                <w:szCs w:val="20"/>
                <w:lang w:eastAsia="pl-PL"/>
              </w:rPr>
              <w:t>rozporządzenia</w:t>
            </w:r>
            <w:r w:rsidRPr="00A4407D">
              <w:rPr>
                <w:rFonts w:cstheme="minorHAnsi"/>
                <w:bCs/>
                <w:sz w:val="20"/>
                <w:szCs w:val="20"/>
              </w:rPr>
              <w:t xml:space="preserve"> Komisji (UE) nr 651/2014 – </w:t>
            </w:r>
            <w:r w:rsidRPr="00A4407D">
              <w:rPr>
                <w:rFonts w:cstheme="minorHAnsi"/>
                <w:sz w:val="20"/>
                <w:szCs w:val="20"/>
                <w:lang w:eastAsia="pl-PL"/>
              </w:rPr>
              <w:t>produkcja energii odnawialnej, wodoru odnawialnego oraz</w:t>
            </w:r>
            <w:r w:rsidRPr="00A4407D">
              <w:rPr>
                <w:sz w:val="20"/>
                <w:szCs w:val="20"/>
              </w:rPr>
              <w:t xml:space="preserve"> </w:t>
            </w:r>
            <w:r w:rsidRPr="00A4407D">
              <w:rPr>
                <w:rFonts w:cstheme="minorHAnsi"/>
                <w:sz w:val="20"/>
                <w:szCs w:val="20"/>
                <w:lang w:eastAsia="pl-PL"/>
              </w:rPr>
              <w:t xml:space="preserve">wysokosprawnej kogeneracji opartej na odnawialnych źródłach energii </w:t>
            </w:r>
            <w:r w:rsidRPr="00A4407D">
              <w:rPr>
                <w:rFonts w:cstheme="minorHAnsi"/>
                <w:bCs/>
                <w:sz w:val="20"/>
                <w:szCs w:val="20"/>
              </w:rPr>
              <w:t>(w przypadku kategorii wydatku 7.3.</w:t>
            </w:r>
            <w:r w:rsidR="000A61C9">
              <w:rPr>
                <w:rFonts w:cstheme="minorHAnsi"/>
                <w:bCs/>
                <w:sz w:val="20"/>
                <w:szCs w:val="20"/>
              </w:rPr>
              <w:t>4</w:t>
            </w:r>
            <w:r w:rsidRPr="00A4407D">
              <w:rPr>
                <w:rFonts w:cstheme="minorHAnsi"/>
                <w:bCs/>
                <w:sz w:val="20"/>
                <w:szCs w:val="20"/>
              </w:rPr>
              <w:t xml:space="preserve"> -</w:t>
            </w:r>
            <w:r w:rsidRPr="00A4407D">
              <w:rPr>
                <w:sz w:val="20"/>
                <w:szCs w:val="20"/>
              </w:rPr>
              <w:t xml:space="preserve"> </w:t>
            </w:r>
            <w:r w:rsidRPr="00A4407D">
              <w:rPr>
                <w:rFonts w:cstheme="minorHAnsi"/>
                <w:bCs/>
                <w:sz w:val="20"/>
                <w:szCs w:val="20"/>
              </w:rPr>
              <w:t>OZE, wodór i kogeneracja – całkowite koszty inwestycji  zastosuj intensywności z lit. a) lub b)</w:t>
            </w:r>
            <w:bookmarkEnd w:id="613"/>
          </w:p>
        </w:tc>
      </w:tr>
      <w:tr w:rsidR="00D72B3D" w:rsidRPr="00A4407D" w14:paraId="7B9B93D0" w14:textId="77777777" w:rsidTr="00A4407D">
        <w:trPr>
          <w:trHeight w:val="568"/>
        </w:trPr>
        <w:tc>
          <w:tcPr>
            <w:tcW w:w="9493" w:type="dxa"/>
            <w:gridSpan w:val="4"/>
            <w:shd w:val="clear" w:color="auto" w:fill="D9E2F3" w:themeFill="accent1" w:themeFillTint="33"/>
            <w:vAlign w:val="center"/>
          </w:tcPr>
          <w:p w14:paraId="28BD275B" w14:textId="615A6106" w:rsidR="00D72B3D" w:rsidRPr="00A4407D" w:rsidRDefault="00D72B3D" w:rsidP="00941ED8">
            <w:pPr>
              <w:pStyle w:val="Bezodstpw"/>
              <w:numPr>
                <w:ilvl w:val="0"/>
                <w:numId w:val="22"/>
              </w:numPr>
              <w:shd w:val="clear" w:color="auto" w:fill="D9E2F3" w:themeFill="accent1" w:themeFillTint="33"/>
              <w:spacing w:line="276" w:lineRule="auto"/>
              <w:ind w:left="311" w:hanging="284"/>
              <w:rPr>
                <w:rFonts w:cstheme="minorHAnsi"/>
                <w:sz w:val="20"/>
                <w:szCs w:val="20"/>
              </w:rPr>
            </w:pPr>
            <w:r w:rsidRPr="00A4407D">
              <w:rPr>
                <w:rFonts w:cstheme="minorHAnsi"/>
                <w:b/>
                <w:sz w:val="20"/>
                <w:szCs w:val="20"/>
                <w:lang w:eastAsia="pl-PL"/>
              </w:rPr>
              <w:t>Art. 41</w:t>
            </w:r>
            <w:r w:rsidRPr="00A4407D">
              <w:rPr>
                <w:rFonts w:cstheme="minorHAnsi"/>
                <w:sz w:val="20"/>
                <w:szCs w:val="20"/>
                <w:lang w:eastAsia="pl-PL"/>
              </w:rPr>
              <w:t xml:space="preserve"> </w:t>
            </w:r>
            <w:r w:rsidRPr="00A4407D">
              <w:rPr>
                <w:rFonts w:cstheme="minorHAnsi"/>
                <w:bCs/>
                <w:sz w:val="20"/>
                <w:szCs w:val="20"/>
              </w:rPr>
              <w:t xml:space="preserve">rozporządzenia Komisji (UE) nr 651/2014 – </w:t>
            </w:r>
            <w:r w:rsidRPr="00A4407D">
              <w:rPr>
                <w:rFonts w:cstheme="minorHAnsi"/>
                <w:sz w:val="20"/>
                <w:szCs w:val="20"/>
              </w:rPr>
              <w:t xml:space="preserve">dotyczących produkcji </w:t>
            </w:r>
            <w:r w:rsidRPr="00A4407D">
              <w:rPr>
                <w:sz w:val="20"/>
                <w:szCs w:val="20"/>
              </w:rPr>
              <w:t xml:space="preserve">energii </w:t>
            </w:r>
            <w:r w:rsidRPr="00A4407D">
              <w:rPr>
                <w:rFonts w:cstheme="minorHAnsi"/>
                <w:sz w:val="20"/>
                <w:szCs w:val="20"/>
              </w:rPr>
              <w:t>odnawialnej, z uwzględnieniem pomp ciepła w rozumieniu art. 2 pkt 108b rozporządzenia nr 651/2014 spełniających warunki określone w Załączniku VII do dyrektywy 2018/2001, wodoru odnawialnego oraz wysokosprawnej kogeneracji opartej na</w:t>
            </w:r>
            <w:r w:rsidRPr="00A4407D">
              <w:rPr>
                <w:sz w:val="20"/>
                <w:szCs w:val="20"/>
              </w:rPr>
              <w:t xml:space="preserve"> odnawialnych</w:t>
            </w:r>
            <w:r w:rsidRPr="00A4407D">
              <w:rPr>
                <w:rFonts w:cstheme="minorHAnsi"/>
                <w:sz w:val="20"/>
                <w:szCs w:val="20"/>
              </w:rPr>
              <w:t xml:space="preserve"> źródłach energii</w:t>
            </w:r>
          </w:p>
        </w:tc>
      </w:tr>
      <w:tr w:rsidR="00D72B3D" w:rsidRPr="00A4407D" w14:paraId="5BA1E26A" w14:textId="77777777" w:rsidTr="00DD5AE3">
        <w:trPr>
          <w:trHeight w:val="497"/>
        </w:trPr>
        <w:tc>
          <w:tcPr>
            <w:tcW w:w="4673" w:type="dxa"/>
            <w:shd w:val="clear" w:color="auto" w:fill="auto"/>
            <w:vAlign w:val="center"/>
          </w:tcPr>
          <w:p w14:paraId="1A8296E3" w14:textId="77777777" w:rsidR="00D72B3D" w:rsidRPr="00A4407D" w:rsidRDefault="00D72B3D" w:rsidP="00A4407D">
            <w:pPr>
              <w:pStyle w:val="Bezodstpw"/>
              <w:spacing w:line="276" w:lineRule="auto"/>
              <w:jc w:val="right"/>
              <w:rPr>
                <w:rFonts w:cstheme="minorHAnsi"/>
                <w:b/>
                <w:sz w:val="20"/>
                <w:szCs w:val="20"/>
                <w:lang w:eastAsia="pl-PL"/>
              </w:rPr>
            </w:pPr>
            <w:r w:rsidRPr="00A4407D">
              <w:rPr>
                <w:rFonts w:cstheme="minorHAnsi"/>
                <w:b/>
                <w:sz w:val="20"/>
                <w:szCs w:val="20"/>
              </w:rPr>
              <w:t>Wszystkie obszary</w:t>
            </w:r>
          </w:p>
        </w:tc>
        <w:tc>
          <w:tcPr>
            <w:tcW w:w="1559" w:type="dxa"/>
            <w:shd w:val="clear" w:color="auto" w:fill="auto"/>
            <w:vAlign w:val="center"/>
          </w:tcPr>
          <w:p w14:paraId="1EE353EA" w14:textId="77777777" w:rsidR="00D72B3D" w:rsidRPr="00A4407D" w:rsidRDefault="00D72B3D" w:rsidP="00A4407D">
            <w:pPr>
              <w:spacing w:line="276" w:lineRule="auto"/>
              <w:jc w:val="center"/>
              <w:rPr>
                <w:rFonts w:cstheme="minorHAnsi"/>
                <w:b/>
                <w:sz w:val="20"/>
                <w:szCs w:val="20"/>
              </w:rPr>
            </w:pPr>
            <w:r w:rsidRPr="00A4407D">
              <w:rPr>
                <w:rFonts w:cstheme="minorHAnsi"/>
                <w:b/>
                <w:sz w:val="20"/>
                <w:szCs w:val="20"/>
              </w:rPr>
              <w:t>45%</w:t>
            </w:r>
          </w:p>
        </w:tc>
        <w:tc>
          <w:tcPr>
            <w:tcW w:w="1701" w:type="dxa"/>
            <w:shd w:val="clear" w:color="auto" w:fill="auto"/>
            <w:vAlign w:val="center"/>
          </w:tcPr>
          <w:p w14:paraId="1216FC7F" w14:textId="77777777" w:rsidR="00D72B3D" w:rsidRPr="00A4407D" w:rsidRDefault="00D72B3D" w:rsidP="00A4407D">
            <w:pPr>
              <w:spacing w:line="276" w:lineRule="auto"/>
              <w:jc w:val="center"/>
              <w:rPr>
                <w:rFonts w:cstheme="minorHAnsi"/>
                <w:b/>
                <w:sz w:val="20"/>
                <w:szCs w:val="20"/>
              </w:rPr>
            </w:pPr>
            <w:r w:rsidRPr="00A4407D">
              <w:rPr>
                <w:rFonts w:cstheme="minorHAnsi"/>
                <w:b/>
                <w:sz w:val="20"/>
                <w:szCs w:val="20"/>
              </w:rPr>
              <w:t>55%</w:t>
            </w:r>
          </w:p>
        </w:tc>
        <w:tc>
          <w:tcPr>
            <w:tcW w:w="1560" w:type="dxa"/>
            <w:shd w:val="clear" w:color="auto" w:fill="auto"/>
            <w:vAlign w:val="center"/>
          </w:tcPr>
          <w:p w14:paraId="16E1485D" w14:textId="77777777" w:rsidR="00D72B3D" w:rsidRPr="00A4407D" w:rsidRDefault="00D72B3D" w:rsidP="00A4407D">
            <w:pPr>
              <w:spacing w:line="276" w:lineRule="auto"/>
              <w:jc w:val="center"/>
              <w:rPr>
                <w:rFonts w:cstheme="minorHAnsi"/>
                <w:b/>
                <w:sz w:val="20"/>
                <w:szCs w:val="20"/>
              </w:rPr>
            </w:pPr>
            <w:r w:rsidRPr="00A4407D">
              <w:rPr>
                <w:rFonts w:cstheme="minorHAnsi"/>
                <w:b/>
                <w:sz w:val="20"/>
                <w:szCs w:val="20"/>
              </w:rPr>
              <w:t>65%</w:t>
            </w:r>
          </w:p>
        </w:tc>
      </w:tr>
      <w:tr w:rsidR="00D72B3D" w:rsidRPr="00A4407D" w14:paraId="4BE86BB2" w14:textId="77777777" w:rsidTr="00A4407D">
        <w:trPr>
          <w:trHeight w:val="283"/>
        </w:trPr>
        <w:tc>
          <w:tcPr>
            <w:tcW w:w="9493" w:type="dxa"/>
            <w:gridSpan w:val="4"/>
            <w:shd w:val="clear" w:color="auto" w:fill="D9E2F3" w:themeFill="accent1" w:themeFillTint="33"/>
            <w:vAlign w:val="center"/>
          </w:tcPr>
          <w:p w14:paraId="6C77D30C" w14:textId="7D336510" w:rsidR="00D72B3D" w:rsidRPr="00A4407D" w:rsidRDefault="00D72B3D" w:rsidP="00941ED8">
            <w:pPr>
              <w:pStyle w:val="Bezodstpw"/>
              <w:numPr>
                <w:ilvl w:val="0"/>
                <w:numId w:val="22"/>
              </w:numPr>
              <w:shd w:val="clear" w:color="auto" w:fill="D9E2F3" w:themeFill="accent1" w:themeFillTint="33"/>
              <w:spacing w:line="276" w:lineRule="auto"/>
              <w:ind w:left="311" w:hanging="284"/>
              <w:rPr>
                <w:rFonts w:cstheme="minorHAnsi"/>
                <w:sz w:val="20"/>
                <w:szCs w:val="20"/>
                <w:lang w:eastAsia="pl-PL"/>
              </w:rPr>
            </w:pPr>
            <w:r w:rsidRPr="00A4407D">
              <w:rPr>
                <w:rFonts w:cstheme="minorHAnsi"/>
                <w:b/>
                <w:sz w:val="20"/>
                <w:szCs w:val="20"/>
                <w:lang w:eastAsia="pl-PL"/>
              </w:rPr>
              <w:t>Art. 41</w:t>
            </w:r>
            <w:r w:rsidRPr="00A4407D">
              <w:rPr>
                <w:rFonts w:cstheme="minorHAnsi"/>
                <w:sz w:val="20"/>
                <w:szCs w:val="20"/>
                <w:lang w:eastAsia="pl-PL"/>
              </w:rPr>
              <w:t xml:space="preserve"> </w:t>
            </w:r>
            <w:r w:rsidRPr="00A4407D">
              <w:rPr>
                <w:rFonts w:cstheme="minorHAnsi"/>
                <w:bCs/>
                <w:sz w:val="20"/>
                <w:szCs w:val="20"/>
              </w:rPr>
              <w:t>rozporządzenia Komisji (UE) nr 651/2014 – inwestycje inne niż wskazano w pkt 4a)</w:t>
            </w:r>
          </w:p>
        </w:tc>
      </w:tr>
      <w:tr w:rsidR="00D72B3D" w:rsidRPr="00A4407D" w14:paraId="4F9CEEE1" w14:textId="77777777" w:rsidTr="00A4407D">
        <w:trPr>
          <w:trHeight w:val="397"/>
        </w:trPr>
        <w:tc>
          <w:tcPr>
            <w:tcW w:w="4673" w:type="dxa"/>
            <w:shd w:val="clear" w:color="auto" w:fill="auto"/>
            <w:vAlign w:val="center"/>
          </w:tcPr>
          <w:p w14:paraId="2E785AB7" w14:textId="77777777" w:rsidR="00D72B3D" w:rsidRPr="00A4407D" w:rsidRDefault="00D72B3D" w:rsidP="00A4407D">
            <w:pPr>
              <w:pStyle w:val="Bezodstpw"/>
              <w:spacing w:line="276" w:lineRule="auto"/>
              <w:jc w:val="right"/>
              <w:rPr>
                <w:rFonts w:cstheme="minorHAnsi"/>
                <w:b/>
                <w:sz w:val="20"/>
                <w:szCs w:val="20"/>
                <w:lang w:eastAsia="pl-PL"/>
              </w:rPr>
            </w:pPr>
            <w:r w:rsidRPr="00A4407D">
              <w:rPr>
                <w:rFonts w:cstheme="minorHAnsi"/>
                <w:b/>
                <w:sz w:val="20"/>
                <w:szCs w:val="20"/>
              </w:rPr>
              <w:t>Wszystkie obszary</w:t>
            </w:r>
          </w:p>
        </w:tc>
        <w:tc>
          <w:tcPr>
            <w:tcW w:w="1559" w:type="dxa"/>
            <w:shd w:val="clear" w:color="auto" w:fill="auto"/>
            <w:vAlign w:val="center"/>
          </w:tcPr>
          <w:p w14:paraId="5A3CEA28" w14:textId="77777777" w:rsidR="00D72B3D" w:rsidRPr="00A4407D" w:rsidRDefault="00D72B3D" w:rsidP="00A4407D">
            <w:pPr>
              <w:spacing w:line="276" w:lineRule="auto"/>
              <w:jc w:val="center"/>
              <w:rPr>
                <w:rFonts w:cstheme="minorHAnsi"/>
                <w:b/>
                <w:sz w:val="20"/>
                <w:szCs w:val="20"/>
              </w:rPr>
            </w:pPr>
            <w:r w:rsidRPr="00A4407D">
              <w:rPr>
                <w:rFonts w:cstheme="minorHAnsi"/>
                <w:b/>
                <w:sz w:val="20"/>
                <w:szCs w:val="20"/>
              </w:rPr>
              <w:t>30%</w:t>
            </w:r>
          </w:p>
        </w:tc>
        <w:tc>
          <w:tcPr>
            <w:tcW w:w="1701" w:type="dxa"/>
            <w:shd w:val="clear" w:color="auto" w:fill="auto"/>
            <w:vAlign w:val="center"/>
          </w:tcPr>
          <w:p w14:paraId="6DEFEBE7" w14:textId="77777777" w:rsidR="00D72B3D" w:rsidRPr="00A4407D" w:rsidRDefault="00D72B3D" w:rsidP="00A4407D">
            <w:pPr>
              <w:spacing w:line="276" w:lineRule="auto"/>
              <w:jc w:val="center"/>
              <w:rPr>
                <w:rFonts w:cstheme="minorHAnsi"/>
                <w:b/>
                <w:sz w:val="20"/>
                <w:szCs w:val="20"/>
              </w:rPr>
            </w:pPr>
            <w:r w:rsidRPr="00A4407D">
              <w:rPr>
                <w:rFonts w:cstheme="minorHAnsi"/>
                <w:b/>
                <w:sz w:val="20"/>
                <w:szCs w:val="20"/>
              </w:rPr>
              <w:t>40%</w:t>
            </w:r>
          </w:p>
        </w:tc>
        <w:tc>
          <w:tcPr>
            <w:tcW w:w="1560" w:type="dxa"/>
            <w:shd w:val="clear" w:color="auto" w:fill="auto"/>
            <w:vAlign w:val="center"/>
          </w:tcPr>
          <w:p w14:paraId="2839E1EC" w14:textId="77777777" w:rsidR="00D72B3D" w:rsidRPr="00A4407D" w:rsidRDefault="00D72B3D" w:rsidP="00A4407D">
            <w:pPr>
              <w:spacing w:line="276" w:lineRule="auto"/>
              <w:jc w:val="center"/>
              <w:rPr>
                <w:rFonts w:cstheme="minorHAnsi"/>
                <w:b/>
                <w:sz w:val="20"/>
                <w:szCs w:val="20"/>
              </w:rPr>
            </w:pPr>
            <w:r w:rsidRPr="00A4407D">
              <w:rPr>
                <w:rFonts w:cstheme="minorHAnsi"/>
                <w:b/>
                <w:sz w:val="20"/>
                <w:szCs w:val="20"/>
              </w:rPr>
              <w:t>50%</w:t>
            </w:r>
          </w:p>
        </w:tc>
      </w:tr>
      <w:tr w:rsidR="00D72B3D" w:rsidRPr="00A4407D" w14:paraId="2A9B7E57" w14:textId="77777777" w:rsidTr="00A4407D">
        <w:trPr>
          <w:trHeight w:val="435"/>
        </w:trPr>
        <w:tc>
          <w:tcPr>
            <w:tcW w:w="9493" w:type="dxa"/>
            <w:gridSpan w:val="4"/>
            <w:shd w:val="clear" w:color="auto" w:fill="D9E2F3" w:themeFill="accent1" w:themeFillTint="33"/>
            <w:vAlign w:val="center"/>
          </w:tcPr>
          <w:p w14:paraId="0D846175" w14:textId="641D9D58" w:rsidR="00D72B3D" w:rsidRPr="00A4407D" w:rsidRDefault="00A502CE" w:rsidP="00EF6065">
            <w:pPr>
              <w:pStyle w:val="Bezodstpw"/>
              <w:spacing w:line="276" w:lineRule="auto"/>
              <w:rPr>
                <w:rFonts w:cstheme="minorHAnsi"/>
                <w:sz w:val="20"/>
                <w:szCs w:val="20"/>
              </w:rPr>
            </w:pPr>
            <w:bookmarkStart w:id="614" w:name="_Hlk167215937"/>
            <w:r>
              <w:rPr>
                <w:rFonts w:cstheme="minorHAnsi"/>
                <w:b/>
                <w:sz w:val="20"/>
                <w:szCs w:val="20"/>
                <w:lang w:eastAsia="pl-PL"/>
              </w:rPr>
              <w:t xml:space="preserve">5. </w:t>
            </w:r>
            <w:r w:rsidR="00D72B3D" w:rsidRPr="00A4407D">
              <w:rPr>
                <w:rFonts w:cstheme="minorHAnsi"/>
                <w:b/>
                <w:sz w:val="20"/>
                <w:szCs w:val="20"/>
                <w:lang w:eastAsia="pl-PL"/>
              </w:rPr>
              <w:t>Art. 47</w:t>
            </w:r>
            <w:r w:rsidR="00D72B3D" w:rsidRPr="00A4407D">
              <w:rPr>
                <w:rFonts w:cstheme="minorHAnsi"/>
                <w:sz w:val="20"/>
                <w:szCs w:val="20"/>
                <w:lang w:eastAsia="pl-PL"/>
              </w:rPr>
              <w:t xml:space="preserve"> </w:t>
            </w:r>
            <w:r w:rsidR="00D72B3D" w:rsidRPr="00A4407D">
              <w:rPr>
                <w:rFonts w:cstheme="minorHAnsi"/>
                <w:i/>
                <w:sz w:val="20"/>
                <w:szCs w:val="20"/>
                <w:lang w:eastAsia="pl-PL"/>
              </w:rPr>
              <w:t>rozporządzenia</w:t>
            </w:r>
            <w:r w:rsidR="00D72B3D" w:rsidRPr="00A4407D">
              <w:rPr>
                <w:rFonts w:cstheme="minorHAnsi"/>
                <w:bCs/>
                <w:sz w:val="20"/>
                <w:szCs w:val="20"/>
              </w:rPr>
              <w:t xml:space="preserve"> Komisji (UE) nr 651/2014 – efektywne gospodarowanie zasobami i wspieranie przechodzenia na GOZ (w przypadku kategorii wydatku 7.3.</w:t>
            </w:r>
            <w:r w:rsidR="000E568B">
              <w:rPr>
                <w:rFonts w:cstheme="minorHAnsi"/>
                <w:bCs/>
                <w:sz w:val="20"/>
                <w:szCs w:val="20"/>
              </w:rPr>
              <w:t>5</w:t>
            </w:r>
            <w:r w:rsidR="00D72B3D" w:rsidRPr="00A4407D">
              <w:rPr>
                <w:rFonts w:cstheme="minorHAnsi"/>
                <w:bCs/>
                <w:sz w:val="20"/>
                <w:szCs w:val="20"/>
              </w:rPr>
              <w:t xml:space="preserve"> - Gospodarowanie zasobami i GOZ - Dodatkowe koszty (scenariusz alternatywny) oraz 7.3.</w:t>
            </w:r>
            <w:r w:rsidR="000E568B">
              <w:rPr>
                <w:rFonts w:cstheme="minorHAnsi"/>
                <w:bCs/>
                <w:sz w:val="20"/>
                <w:szCs w:val="20"/>
              </w:rPr>
              <w:t>6</w:t>
            </w:r>
            <w:r w:rsidR="00D72B3D" w:rsidRPr="00A4407D">
              <w:rPr>
                <w:sz w:val="20"/>
                <w:szCs w:val="20"/>
              </w:rPr>
              <w:t xml:space="preserve"> </w:t>
            </w:r>
            <w:r w:rsidR="00D72B3D" w:rsidRPr="00A4407D">
              <w:rPr>
                <w:rFonts w:cstheme="minorHAnsi"/>
                <w:bCs/>
                <w:sz w:val="20"/>
                <w:szCs w:val="20"/>
              </w:rPr>
              <w:t>Gospodarowanie zasobami i GOZ - Dodatkowe komponenty w istniejącym zakładzie zastosuj intensywności z poniższej tabeli)</w:t>
            </w:r>
            <w:bookmarkEnd w:id="614"/>
          </w:p>
        </w:tc>
      </w:tr>
      <w:tr w:rsidR="00D72B3D" w:rsidRPr="00A4407D" w14:paraId="2A4CF93A" w14:textId="77777777" w:rsidTr="00A4407D">
        <w:trPr>
          <w:trHeight w:val="397"/>
        </w:trPr>
        <w:tc>
          <w:tcPr>
            <w:tcW w:w="4673" w:type="dxa"/>
            <w:shd w:val="clear" w:color="auto" w:fill="auto"/>
            <w:vAlign w:val="center"/>
          </w:tcPr>
          <w:p w14:paraId="2A4A8D9C" w14:textId="77777777" w:rsidR="00D72B3D" w:rsidRPr="00A4407D" w:rsidRDefault="00D72B3D" w:rsidP="00A4407D">
            <w:pPr>
              <w:pStyle w:val="Bezodstpw"/>
              <w:spacing w:line="276" w:lineRule="auto"/>
              <w:jc w:val="right"/>
              <w:rPr>
                <w:rFonts w:cstheme="minorHAnsi"/>
                <w:b/>
                <w:sz w:val="20"/>
                <w:szCs w:val="20"/>
                <w:lang w:eastAsia="pl-PL"/>
              </w:rPr>
            </w:pPr>
            <w:r w:rsidRPr="00A4407D">
              <w:rPr>
                <w:rFonts w:cstheme="minorHAnsi"/>
                <w:b/>
                <w:sz w:val="20"/>
                <w:szCs w:val="20"/>
              </w:rPr>
              <w:t>Obszar a*</w:t>
            </w:r>
          </w:p>
        </w:tc>
        <w:tc>
          <w:tcPr>
            <w:tcW w:w="1559" w:type="dxa"/>
            <w:shd w:val="clear" w:color="auto" w:fill="auto"/>
            <w:vAlign w:val="center"/>
          </w:tcPr>
          <w:p w14:paraId="09276C22" w14:textId="434A0961" w:rsidR="00D72B3D" w:rsidRPr="00A4407D" w:rsidRDefault="00D72B3D" w:rsidP="00A4407D">
            <w:pPr>
              <w:spacing w:line="276" w:lineRule="auto"/>
              <w:jc w:val="center"/>
              <w:rPr>
                <w:b/>
                <w:sz w:val="20"/>
                <w:szCs w:val="20"/>
              </w:rPr>
            </w:pPr>
            <w:r w:rsidRPr="00A4407D">
              <w:rPr>
                <w:rFonts w:cstheme="minorHAnsi"/>
                <w:b/>
                <w:sz w:val="20"/>
                <w:szCs w:val="20"/>
              </w:rPr>
              <w:t>55</w:t>
            </w:r>
            <w:r w:rsidRPr="00A4407D">
              <w:rPr>
                <w:b/>
                <w:sz w:val="20"/>
                <w:szCs w:val="20"/>
              </w:rPr>
              <w:t>%</w:t>
            </w:r>
          </w:p>
        </w:tc>
        <w:tc>
          <w:tcPr>
            <w:tcW w:w="1701" w:type="dxa"/>
            <w:shd w:val="clear" w:color="auto" w:fill="auto"/>
            <w:vAlign w:val="center"/>
          </w:tcPr>
          <w:p w14:paraId="486C1700" w14:textId="0A56A4EF" w:rsidR="00D72B3D" w:rsidRPr="00A4407D" w:rsidRDefault="00D72B3D" w:rsidP="00A4407D">
            <w:pPr>
              <w:spacing w:line="276" w:lineRule="auto"/>
              <w:jc w:val="center"/>
              <w:rPr>
                <w:b/>
                <w:sz w:val="20"/>
                <w:szCs w:val="20"/>
              </w:rPr>
            </w:pPr>
            <w:r w:rsidRPr="00A4407D">
              <w:rPr>
                <w:rFonts w:cstheme="minorHAnsi"/>
                <w:b/>
                <w:sz w:val="20"/>
                <w:szCs w:val="20"/>
              </w:rPr>
              <w:t>65</w:t>
            </w:r>
            <w:r w:rsidRPr="00A4407D">
              <w:rPr>
                <w:b/>
                <w:sz w:val="20"/>
                <w:szCs w:val="20"/>
              </w:rPr>
              <w:t>%</w:t>
            </w:r>
          </w:p>
        </w:tc>
        <w:tc>
          <w:tcPr>
            <w:tcW w:w="1560" w:type="dxa"/>
            <w:shd w:val="clear" w:color="auto" w:fill="auto"/>
            <w:vAlign w:val="center"/>
          </w:tcPr>
          <w:p w14:paraId="75BB377F" w14:textId="39021E5F" w:rsidR="00D72B3D" w:rsidRPr="00A4407D" w:rsidRDefault="00D72B3D" w:rsidP="00A4407D">
            <w:pPr>
              <w:spacing w:line="276" w:lineRule="auto"/>
              <w:jc w:val="center"/>
              <w:rPr>
                <w:b/>
                <w:sz w:val="20"/>
                <w:szCs w:val="20"/>
              </w:rPr>
            </w:pPr>
            <w:r w:rsidRPr="00A4407D">
              <w:rPr>
                <w:rFonts w:cstheme="minorHAnsi"/>
                <w:b/>
                <w:sz w:val="20"/>
                <w:szCs w:val="20"/>
              </w:rPr>
              <w:t>75</w:t>
            </w:r>
            <w:r w:rsidRPr="00A4407D">
              <w:rPr>
                <w:b/>
                <w:sz w:val="20"/>
                <w:szCs w:val="20"/>
              </w:rPr>
              <w:t>%</w:t>
            </w:r>
          </w:p>
        </w:tc>
      </w:tr>
      <w:tr w:rsidR="00D72B3D" w:rsidRPr="00A4407D" w14:paraId="43538820" w14:textId="77777777" w:rsidTr="00A4407D">
        <w:trPr>
          <w:trHeight w:val="397"/>
        </w:trPr>
        <w:tc>
          <w:tcPr>
            <w:tcW w:w="4673" w:type="dxa"/>
            <w:shd w:val="clear" w:color="auto" w:fill="auto"/>
            <w:vAlign w:val="center"/>
          </w:tcPr>
          <w:p w14:paraId="6601E3BC" w14:textId="77777777" w:rsidR="00D72B3D" w:rsidRPr="00A4407D" w:rsidRDefault="00D72B3D" w:rsidP="00A4407D">
            <w:pPr>
              <w:pStyle w:val="Bezodstpw"/>
              <w:spacing w:line="276" w:lineRule="auto"/>
              <w:jc w:val="right"/>
              <w:rPr>
                <w:rFonts w:cstheme="minorHAnsi"/>
                <w:b/>
                <w:sz w:val="20"/>
                <w:szCs w:val="20"/>
                <w:lang w:eastAsia="pl-PL"/>
              </w:rPr>
            </w:pPr>
            <w:r w:rsidRPr="00A4407D">
              <w:rPr>
                <w:rFonts w:cstheme="minorHAnsi"/>
                <w:b/>
                <w:sz w:val="20"/>
                <w:szCs w:val="20"/>
              </w:rPr>
              <w:t>Obszar c**</w:t>
            </w:r>
          </w:p>
        </w:tc>
        <w:tc>
          <w:tcPr>
            <w:tcW w:w="1559" w:type="dxa"/>
            <w:shd w:val="clear" w:color="auto" w:fill="auto"/>
            <w:vAlign w:val="center"/>
          </w:tcPr>
          <w:p w14:paraId="718A8FF1" w14:textId="2153E92C" w:rsidR="00D72B3D" w:rsidRPr="00A4407D" w:rsidRDefault="00D72B3D" w:rsidP="00A4407D">
            <w:pPr>
              <w:spacing w:line="276" w:lineRule="auto"/>
              <w:jc w:val="center"/>
              <w:rPr>
                <w:b/>
                <w:sz w:val="20"/>
                <w:szCs w:val="20"/>
              </w:rPr>
            </w:pPr>
            <w:r w:rsidRPr="00A4407D">
              <w:rPr>
                <w:rFonts w:cstheme="minorHAnsi"/>
                <w:b/>
                <w:sz w:val="20"/>
                <w:szCs w:val="20"/>
              </w:rPr>
              <w:t>45</w:t>
            </w:r>
            <w:r w:rsidRPr="00A4407D">
              <w:rPr>
                <w:b/>
                <w:sz w:val="20"/>
                <w:szCs w:val="20"/>
              </w:rPr>
              <w:t>%</w:t>
            </w:r>
          </w:p>
        </w:tc>
        <w:tc>
          <w:tcPr>
            <w:tcW w:w="1701" w:type="dxa"/>
            <w:shd w:val="clear" w:color="auto" w:fill="auto"/>
            <w:vAlign w:val="center"/>
          </w:tcPr>
          <w:p w14:paraId="6BC0F8EC" w14:textId="2B24FB7A" w:rsidR="00D72B3D" w:rsidRPr="00A4407D" w:rsidRDefault="00D72B3D" w:rsidP="00A4407D">
            <w:pPr>
              <w:spacing w:line="276" w:lineRule="auto"/>
              <w:jc w:val="center"/>
              <w:rPr>
                <w:b/>
                <w:sz w:val="20"/>
                <w:szCs w:val="20"/>
              </w:rPr>
            </w:pPr>
            <w:r w:rsidRPr="00A4407D">
              <w:rPr>
                <w:rFonts w:cstheme="minorHAnsi"/>
                <w:b/>
                <w:sz w:val="20"/>
                <w:szCs w:val="20"/>
              </w:rPr>
              <w:t>55</w:t>
            </w:r>
            <w:r w:rsidRPr="00A4407D">
              <w:rPr>
                <w:b/>
                <w:sz w:val="20"/>
                <w:szCs w:val="20"/>
              </w:rPr>
              <w:t>%</w:t>
            </w:r>
          </w:p>
        </w:tc>
        <w:tc>
          <w:tcPr>
            <w:tcW w:w="1560" w:type="dxa"/>
            <w:shd w:val="clear" w:color="auto" w:fill="auto"/>
            <w:vAlign w:val="center"/>
          </w:tcPr>
          <w:p w14:paraId="651A76FC" w14:textId="44D03D87" w:rsidR="00D72B3D" w:rsidRPr="00A4407D" w:rsidRDefault="00D72B3D" w:rsidP="00A4407D">
            <w:pPr>
              <w:spacing w:line="276" w:lineRule="auto"/>
              <w:jc w:val="center"/>
              <w:rPr>
                <w:b/>
                <w:sz w:val="20"/>
                <w:szCs w:val="20"/>
              </w:rPr>
            </w:pPr>
            <w:r w:rsidRPr="00A4407D">
              <w:rPr>
                <w:rFonts w:cstheme="minorHAnsi"/>
                <w:b/>
                <w:sz w:val="20"/>
                <w:szCs w:val="20"/>
              </w:rPr>
              <w:t>65</w:t>
            </w:r>
            <w:r w:rsidRPr="00A4407D">
              <w:rPr>
                <w:b/>
                <w:sz w:val="20"/>
                <w:szCs w:val="20"/>
              </w:rPr>
              <w:t>%</w:t>
            </w:r>
          </w:p>
        </w:tc>
      </w:tr>
      <w:tr w:rsidR="00D72B3D" w:rsidRPr="00A4407D" w14:paraId="02BABBA6" w14:textId="77777777" w:rsidTr="00A4407D">
        <w:trPr>
          <w:trHeight w:val="397"/>
        </w:trPr>
        <w:tc>
          <w:tcPr>
            <w:tcW w:w="4673" w:type="dxa"/>
            <w:shd w:val="clear" w:color="auto" w:fill="auto"/>
            <w:vAlign w:val="center"/>
          </w:tcPr>
          <w:p w14:paraId="769A00A6" w14:textId="77777777" w:rsidR="00D72B3D" w:rsidRPr="00A4407D" w:rsidRDefault="00D72B3D" w:rsidP="00A4407D">
            <w:pPr>
              <w:pStyle w:val="Bezodstpw"/>
              <w:spacing w:line="276" w:lineRule="auto"/>
              <w:jc w:val="right"/>
              <w:rPr>
                <w:rFonts w:cstheme="minorHAnsi"/>
                <w:b/>
                <w:sz w:val="20"/>
                <w:szCs w:val="20"/>
                <w:lang w:eastAsia="pl-PL"/>
              </w:rPr>
            </w:pPr>
            <w:r w:rsidRPr="00A4407D">
              <w:rPr>
                <w:rFonts w:cstheme="minorHAnsi"/>
                <w:b/>
                <w:sz w:val="20"/>
                <w:szCs w:val="20"/>
              </w:rPr>
              <w:t>Poza obszarem „a” i „c”***</w:t>
            </w:r>
          </w:p>
        </w:tc>
        <w:tc>
          <w:tcPr>
            <w:tcW w:w="1559" w:type="dxa"/>
            <w:shd w:val="clear" w:color="auto" w:fill="auto"/>
            <w:vAlign w:val="center"/>
          </w:tcPr>
          <w:p w14:paraId="0D17D605" w14:textId="03D54574" w:rsidR="00D72B3D" w:rsidRPr="00A4407D" w:rsidRDefault="00D72B3D" w:rsidP="00A4407D">
            <w:pPr>
              <w:spacing w:line="276" w:lineRule="auto"/>
              <w:jc w:val="center"/>
              <w:rPr>
                <w:b/>
                <w:sz w:val="20"/>
                <w:szCs w:val="20"/>
              </w:rPr>
            </w:pPr>
            <w:r w:rsidRPr="00A4407D">
              <w:rPr>
                <w:rFonts w:cstheme="minorHAnsi"/>
                <w:b/>
                <w:sz w:val="20"/>
                <w:szCs w:val="20"/>
              </w:rPr>
              <w:t>40</w:t>
            </w:r>
            <w:r w:rsidRPr="00A4407D">
              <w:rPr>
                <w:b/>
                <w:sz w:val="20"/>
                <w:szCs w:val="20"/>
              </w:rPr>
              <w:t>%</w:t>
            </w:r>
          </w:p>
        </w:tc>
        <w:tc>
          <w:tcPr>
            <w:tcW w:w="1701" w:type="dxa"/>
            <w:shd w:val="clear" w:color="auto" w:fill="auto"/>
            <w:vAlign w:val="center"/>
          </w:tcPr>
          <w:p w14:paraId="667A3F14" w14:textId="27D62BB7" w:rsidR="00D72B3D" w:rsidRPr="00A4407D" w:rsidRDefault="00D72B3D" w:rsidP="00A4407D">
            <w:pPr>
              <w:spacing w:line="276" w:lineRule="auto"/>
              <w:jc w:val="center"/>
              <w:rPr>
                <w:b/>
                <w:sz w:val="20"/>
                <w:szCs w:val="20"/>
              </w:rPr>
            </w:pPr>
            <w:r w:rsidRPr="00A4407D">
              <w:rPr>
                <w:rFonts w:cstheme="minorHAnsi"/>
                <w:b/>
                <w:sz w:val="20"/>
                <w:szCs w:val="20"/>
              </w:rPr>
              <w:t>50</w:t>
            </w:r>
            <w:r w:rsidRPr="00A4407D">
              <w:rPr>
                <w:b/>
                <w:sz w:val="20"/>
                <w:szCs w:val="20"/>
              </w:rPr>
              <w:t>%</w:t>
            </w:r>
          </w:p>
        </w:tc>
        <w:tc>
          <w:tcPr>
            <w:tcW w:w="1560" w:type="dxa"/>
            <w:shd w:val="clear" w:color="auto" w:fill="auto"/>
            <w:vAlign w:val="center"/>
          </w:tcPr>
          <w:p w14:paraId="7AD2C41E" w14:textId="5E57C446" w:rsidR="00D72B3D" w:rsidRPr="00A4407D" w:rsidRDefault="00D72B3D" w:rsidP="00A4407D">
            <w:pPr>
              <w:spacing w:line="276" w:lineRule="auto"/>
              <w:jc w:val="center"/>
              <w:rPr>
                <w:b/>
                <w:sz w:val="20"/>
                <w:szCs w:val="20"/>
              </w:rPr>
            </w:pPr>
            <w:r w:rsidRPr="00A4407D">
              <w:rPr>
                <w:rFonts w:cstheme="minorHAnsi"/>
                <w:b/>
                <w:sz w:val="20"/>
                <w:szCs w:val="20"/>
              </w:rPr>
              <w:t>60</w:t>
            </w:r>
            <w:r w:rsidRPr="00A4407D">
              <w:rPr>
                <w:b/>
                <w:sz w:val="20"/>
                <w:szCs w:val="20"/>
              </w:rPr>
              <w:t>%</w:t>
            </w:r>
          </w:p>
        </w:tc>
      </w:tr>
    </w:tbl>
    <w:p w14:paraId="0E6965B3" w14:textId="77777777" w:rsidR="00D72B3D" w:rsidRPr="00762814" w:rsidRDefault="00D72B3D" w:rsidP="00A4407D">
      <w:pPr>
        <w:spacing w:before="120" w:line="276" w:lineRule="auto"/>
        <w:ind w:left="851" w:hanging="284"/>
        <w:rPr>
          <w:rFonts w:eastAsia="Calibri" w:cstheme="minorHAnsi"/>
          <w:sz w:val="24"/>
          <w:szCs w:val="24"/>
        </w:rPr>
      </w:pPr>
      <w:bookmarkStart w:id="615" w:name="_Hlk92893562"/>
      <w:bookmarkStart w:id="616" w:name="_Hlk93411486"/>
      <w:r w:rsidRPr="00762814">
        <w:rPr>
          <w:rFonts w:eastAsia="Calibri" w:cstheme="minorHAnsi"/>
          <w:b/>
          <w:sz w:val="24"/>
          <w:szCs w:val="24"/>
        </w:rPr>
        <w:t>*obszary „a”</w:t>
      </w:r>
      <w:r w:rsidRPr="00762814">
        <w:rPr>
          <w:rFonts w:eastAsia="Calibri" w:cstheme="minorHAnsi"/>
          <w:sz w:val="24"/>
          <w:szCs w:val="24"/>
        </w:rPr>
        <w:t xml:space="preserve"> - województwa: kujawsko-pomorskie, lubelskie, lubuskie, łódzkie, małopolskie, opolskie, podkarpackie, podlaskie, pomorskie, śląskie, świętokrzyskie, warmińsko-mazurskie, zachodniopomorskie oraz region mazowiecki regionalny.</w:t>
      </w:r>
    </w:p>
    <w:p w14:paraId="7C6F431D" w14:textId="77777777" w:rsidR="00D72B3D" w:rsidRPr="00762814" w:rsidRDefault="00D72B3D" w:rsidP="00D72B3D">
      <w:pPr>
        <w:spacing w:line="276" w:lineRule="auto"/>
        <w:ind w:left="852" w:hanging="284"/>
        <w:rPr>
          <w:rFonts w:eastAsia="Calibri" w:cstheme="minorHAnsi"/>
          <w:sz w:val="24"/>
          <w:szCs w:val="24"/>
        </w:rPr>
      </w:pPr>
      <w:r w:rsidRPr="00762814">
        <w:rPr>
          <w:rFonts w:eastAsia="Calibri" w:cstheme="minorHAnsi"/>
          <w:b/>
          <w:sz w:val="24"/>
          <w:szCs w:val="24"/>
        </w:rPr>
        <w:t>**obszary „c”</w:t>
      </w:r>
      <w:r w:rsidRPr="00762814">
        <w:rPr>
          <w:rFonts w:eastAsia="Calibri" w:cstheme="minorHAnsi"/>
          <w:sz w:val="24"/>
          <w:szCs w:val="24"/>
        </w:rPr>
        <w:t xml:space="preserve"> - województwa: dolnośląskie i wielkopolskie oraz następujące gminy należące do regionu warszawskiego stołecznego: Baranów, Błonie, Dąbrówka, Dobre, Góra Kalwaria, Grodzisk Mazowiecki, Jadów, Jaktorów, Kałuszyn, Kampinos, Kołbiel, Latowicz, Leoncin, Leszno, Mrozy, Nasielsk, Osieck, Prażmów, Serock, Siennica, Sobienie-Jeziory, Strachówka, Tarczyn, Tłuszcz, Zakroczym i Żabia Wola.</w:t>
      </w:r>
    </w:p>
    <w:p w14:paraId="7A2822F1" w14:textId="0E1AAB38" w:rsidR="00954F77" w:rsidRPr="00762814" w:rsidRDefault="00D72B3D" w:rsidP="00A4407D">
      <w:pPr>
        <w:spacing w:line="276" w:lineRule="auto"/>
        <w:ind w:left="852" w:hanging="284"/>
        <w:rPr>
          <w:rFonts w:eastAsia="Calibri" w:cstheme="minorHAnsi"/>
          <w:sz w:val="24"/>
          <w:szCs w:val="24"/>
        </w:rPr>
      </w:pPr>
      <w:r w:rsidRPr="00762814">
        <w:rPr>
          <w:rFonts w:eastAsia="Calibri" w:cstheme="minorHAnsi"/>
          <w:b/>
          <w:sz w:val="24"/>
          <w:szCs w:val="24"/>
        </w:rPr>
        <w:t xml:space="preserve">***obszary poza „a” i „c” </w:t>
      </w:r>
      <w:r w:rsidRPr="00762814">
        <w:rPr>
          <w:rFonts w:eastAsia="Calibri" w:cstheme="minorHAnsi"/>
          <w:sz w:val="24"/>
          <w:szCs w:val="24"/>
        </w:rPr>
        <w:t>-</w:t>
      </w:r>
      <w:r w:rsidRPr="00762814">
        <w:rPr>
          <w:rFonts w:eastAsia="Calibri" w:cstheme="minorHAnsi"/>
          <w:b/>
          <w:sz w:val="24"/>
          <w:szCs w:val="24"/>
        </w:rPr>
        <w:t xml:space="preserve"> </w:t>
      </w:r>
      <w:r w:rsidRPr="00762814">
        <w:rPr>
          <w:rFonts w:eastAsia="Calibri" w:cstheme="minorHAnsi"/>
          <w:sz w:val="24"/>
          <w:szCs w:val="24"/>
        </w:rPr>
        <w:t xml:space="preserve">Miasto stołeczne Warszawa oraz powiaty ościenne tj.: powiat legionowski (gminy: Legionowo, Jabłonna, Nieporęt, Wieliszew), powiat miński (gminy: Mińsk Mazowiecki, Sulejówek, Cegłów, Dębe Wielkie, Halinów, Jakubów, Stanisławów), powiat otwocki (gminy: Józefów, Otwock, Celestynów, Karczew, Wiązowna), powiat wołomiński (gminy: Kobyłka, Marki, Ząbki, Zielonka, Klembów, Poświętne, Radzymin, Wołomin) powiat grodziski (gminy: Milanówek, Podkowa Leśna), powiat nowodworski (gminy: Nowy Dwór Mazowiecki, Czosnów, Pomiechówek), powiat piaseczyński (gminy: Konstancin Jeziorna, Lesznowola, Piaseczno), powiat pruszkowski cały, </w:t>
      </w:r>
      <w:r w:rsidRPr="00762814">
        <w:rPr>
          <w:rFonts w:eastAsia="Times New Roman" w:cstheme="minorHAnsi"/>
          <w:sz w:val="24"/>
          <w:szCs w:val="24"/>
        </w:rPr>
        <w:t>powiat warszawski zachodni (gminy: Izabelin, Łomianki, Ożarów Mazowiecki, Stare Babice)</w:t>
      </w:r>
      <w:r w:rsidRPr="00762814">
        <w:rPr>
          <w:rFonts w:eastAsia="Calibri" w:cstheme="minorHAnsi"/>
          <w:sz w:val="24"/>
          <w:szCs w:val="24"/>
        </w:rPr>
        <w:t>.</w:t>
      </w:r>
      <w:bookmarkEnd w:id="615"/>
      <w:bookmarkEnd w:id="616"/>
    </w:p>
    <w:sectPr w:rsidR="00954F77" w:rsidRPr="00762814" w:rsidSect="0012269D">
      <w:pgSz w:w="11906" w:h="16838"/>
      <w:pgMar w:top="851" w:right="1276" w:bottom="851"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EDAF9" w14:textId="77777777" w:rsidR="005258D5" w:rsidRDefault="005258D5" w:rsidP="00A23B26">
      <w:pPr>
        <w:spacing w:after="0" w:line="240" w:lineRule="auto"/>
      </w:pPr>
      <w:r>
        <w:separator/>
      </w:r>
    </w:p>
  </w:endnote>
  <w:endnote w:type="continuationSeparator" w:id="0">
    <w:p w14:paraId="6E200611" w14:textId="77777777" w:rsidR="005258D5" w:rsidRDefault="005258D5" w:rsidP="00A23B26">
      <w:pPr>
        <w:spacing w:after="0" w:line="240" w:lineRule="auto"/>
      </w:pPr>
      <w:r>
        <w:continuationSeparator/>
      </w:r>
    </w:p>
  </w:endnote>
  <w:endnote w:type="continuationNotice" w:id="1">
    <w:p w14:paraId="545E0A16" w14:textId="77777777" w:rsidR="005258D5" w:rsidRDefault="005258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Segoe UI">
    <w:panose1 w:val="020B0502040204020203"/>
    <w:charset w:val="EE"/>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Times">
    <w:altName w:val="Times New Roman"/>
    <w:panose1 w:val="02020603050405020304"/>
    <w:charset w:val="EE"/>
    <w:family w:val="roman"/>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FAF9E" w14:textId="155D9BDE" w:rsidR="000E5F36" w:rsidRDefault="000E5F36" w:rsidP="002228EE">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1C595" w14:textId="5966B982" w:rsidR="000E5F36" w:rsidRDefault="000E5F36">
    <w:pPr>
      <w:pStyle w:val="Stopka"/>
    </w:pPr>
    <w:r>
      <w:rPr>
        <w:noProof/>
      </w:rPr>
      <mc:AlternateContent>
        <mc:Choice Requires="wps">
          <w:drawing>
            <wp:anchor distT="0" distB="0" distL="114300" distR="114300" simplePos="0" relativeHeight="251660288" behindDoc="0" locked="0" layoutInCell="0" allowOverlap="1" wp14:anchorId="54E7A44A" wp14:editId="494CFF03">
              <wp:simplePos x="0" y="0"/>
              <wp:positionH relativeFrom="page">
                <wp:posOffset>0</wp:posOffset>
              </wp:positionH>
              <wp:positionV relativeFrom="page">
                <wp:posOffset>10227945</wp:posOffset>
              </wp:positionV>
              <wp:extent cx="7560310" cy="273050"/>
              <wp:effectExtent l="0" t="0" r="0" b="12700"/>
              <wp:wrapNone/>
              <wp:docPr id="4" name="MSIPCM30bd4cb5909e346e7cc56536" descr="{&quot;HashCode&quot;:85143723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E8DCE6" w14:textId="6A7C9BAE" w:rsidR="000E5F36" w:rsidRPr="005E1CFA" w:rsidRDefault="000E5F36" w:rsidP="005E1CFA">
                          <w:pPr>
                            <w:spacing w:after="0"/>
                            <w:jc w:val="center"/>
                            <w:rPr>
                              <w:rFonts w:ascii="Calibri" w:hAnsi="Calibri" w:cs="Calibri"/>
                              <w:color w:val="000000"/>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E7A44A" id="_x0000_t202" coordsize="21600,21600" o:spt="202" path="m,l,21600r21600,l21600,xe">
              <v:stroke joinstyle="miter"/>
              <v:path gradientshapeok="t" o:connecttype="rect"/>
            </v:shapetype>
            <v:shape id="MSIPCM30bd4cb5909e346e7cc56536" o:spid="_x0000_s1026" type="#_x0000_t202" alt="{&quot;HashCode&quot;:851437236,&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" o:allowincell="f" filled="f" stroked="f" strokeweight=".5pt">
              <v:textbox inset=",0,,0">
                <w:txbxContent>
                  <w:p w14:paraId="7CE8DCE6" w14:textId="6A7C9BAE" w:rsidR="000E5F36" w:rsidRPr="005E1CFA" w:rsidRDefault="000E5F36" w:rsidP="005E1CFA">
                    <w:pPr>
                      <w:spacing w:after="0"/>
                      <w:jc w:val="center"/>
                      <w:rPr>
                        <w:rFonts w:ascii="Calibri" w:hAnsi="Calibri" w:cs="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98CE1" w14:textId="77777777" w:rsidR="005258D5" w:rsidRDefault="005258D5" w:rsidP="00A23B26">
      <w:pPr>
        <w:spacing w:after="0" w:line="240" w:lineRule="auto"/>
      </w:pPr>
      <w:r>
        <w:separator/>
      </w:r>
    </w:p>
  </w:footnote>
  <w:footnote w:type="continuationSeparator" w:id="0">
    <w:p w14:paraId="117F2B86" w14:textId="77777777" w:rsidR="005258D5" w:rsidRDefault="005258D5" w:rsidP="00A23B26">
      <w:pPr>
        <w:spacing w:after="0" w:line="240" w:lineRule="auto"/>
      </w:pPr>
      <w:r>
        <w:continuationSeparator/>
      </w:r>
    </w:p>
  </w:footnote>
  <w:footnote w:type="continuationNotice" w:id="1">
    <w:p w14:paraId="0AAD3F67" w14:textId="77777777" w:rsidR="005258D5" w:rsidRDefault="005258D5">
      <w:pPr>
        <w:spacing w:after="0" w:line="240" w:lineRule="auto"/>
      </w:pPr>
    </w:p>
  </w:footnote>
  <w:footnote w:id="2">
    <w:p w14:paraId="10F96532" w14:textId="513404E6" w:rsidR="001E58D6" w:rsidRDefault="001E58D6" w:rsidP="00753895">
      <w:pPr>
        <w:pStyle w:val="Tekstprzypisudolnego"/>
        <w:spacing w:after="120" w:line="276" w:lineRule="auto"/>
      </w:pPr>
      <w:r>
        <w:rPr>
          <w:rStyle w:val="Odwoanieprzypisudolnego"/>
        </w:rPr>
        <w:footnoteRef/>
      </w:r>
      <w:r>
        <w:t xml:space="preserve"> Źródło: </w:t>
      </w:r>
      <w:hyperlink r:id="rId1" w:history="1">
        <w:r w:rsidR="002C4D5C" w:rsidRPr="00BA6022">
          <w:rPr>
            <w:rStyle w:val="Hipercze"/>
          </w:rPr>
          <w:t>https://www.funduszeeuropejskie.gov.pl/strony/o-funduszach/dokumenty/wytyczne-dotyczace-kwalifikowalnosci-2021-2027</w:t>
        </w:r>
      </w:hyperlink>
      <w:r w:rsidR="00CF579F">
        <w:t xml:space="preserve">. </w:t>
      </w:r>
    </w:p>
  </w:footnote>
  <w:footnote w:id="3">
    <w:p w14:paraId="1AD5A979" w14:textId="67D71378" w:rsidR="000E5F36" w:rsidRDefault="000E5F36" w:rsidP="00753895">
      <w:pPr>
        <w:pStyle w:val="Tekstprzypisudolnego"/>
        <w:spacing w:after="120" w:line="276" w:lineRule="auto"/>
      </w:pPr>
      <w:r>
        <w:rPr>
          <w:rStyle w:val="Odwoanieprzypisudolnego"/>
        </w:rPr>
        <w:footnoteRef/>
      </w:r>
      <w:r>
        <w:t xml:space="preserve"> Z uwzględnieniem kumulacji pomocy, o której mowa w art. 8 </w:t>
      </w:r>
      <w:r w:rsidRPr="00B77272">
        <w:t>rozporządzenia Komisji (UE) nr 651/2014</w:t>
      </w:r>
      <w:r w:rsidR="00214EB1">
        <w:t>.</w:t>
      </w:r>
    </w:p>
  </w:footnote>
  <w:footnote w:id="4">
    <w:p w14:paraId="7ECBD787" w14:textId="3E744E94" w:rsidR="00DF1E2F" w:rsidRDefault="00DF1E2F" w:rsidP="00753895">
      <w:pPr>
        <w:pStyle w:val="Tekstprzypisudolnego"/>
        <w:spacing w:after="120" w:line="276" w:lineRule="auto"/>
      </w:pPr>
      <w:r>
        <w:rPr>
          <w:rStyle w:val="Odwoanieprzypisudolnego"/>
        </w:rPr>
        <w:footnoteRef/>
      </w:r>
      <w:r>
        <w:t xml:space="preserve"> Duży projekt inwestycyjny oznacza inwestycję początkową, której koszty kwalifikowalne, obliczane z zastosowaniem cen i kursów wymiany w dniu przyznania pomocy, przekraczają 50 mln EUR</w:t>
      </w:r>
      <w:r w:rsidR="00753895">
        <w:t>.</w:t>
      </w:r>
    </w:p>
  </w:footnote>
  <w:footnote w:id="5">
    <w:p w14:paraId="319CBFDE" w14:textId="468C3B5D" w:rsidR="00611A7D" w:rsidRDefault="00611A7D" w:rsidP="00611A7D">
      <w:pPr>
        <w:pStyle w:val="Tekstprzypisudolnego"/>
      </w:pPr>
      <w:r w:rsidRPr="00AA30FF">
        <w:rPr>
          <w:rStyle w:val="Odwoanieprzypisudolnego"/>
        </w:rPr>
        <w:footnoteRef/>
      </w:r>
      <w:r w:rsidR="00AA30FF" w:rsidRPr="00AA30FF">
        <w:t xml:space="preserve"> </w:t>
      </w:r>
      <w:r w:rsidR="00AA30FF" w:rsidRPr="00151815">
        <w:rPr>
          <w:rFonts w:cstheme="minorHAnsi"/>
        </w:rPr>
        <w:t>Intensywności wskazane w tabeli 1 będą obowiązywały od dnia wejścia w życie rozporządzenia Rady Ministrów zmieniającego rozporządzenie w sprawie ustalenia mapy pomocy regionalnej na lata 2022–2027 (nr w wykazie prac legislacyjnych Rady Ministrów RC8)</w:t>
      </w:r>
      <w:r w:rsidR="002D7C3E" w:rsidRPr="00151815">
        <w:rPr>
          <w:rFonts w:cstheme="minorHAnsi"/>
        </w:rPr>
        <w:t>.</w:t>
      </w:r>
    </w:p>
    <w:p w14:paraId="3C8D3D05" w14:textId="65797D97" w:rsidR="00611A7D" w:rsidRDefault="00611A7D">
      <w:pPr>
        <w:pStyle w:val="Tekstprzypisudolnego"/>
      </w:pPr>
    </w:p>
  </w:footnote>
  <w:footnote w:id="6">
    <w:p w14:paraId="040E1B2B" w14:textId="77777777" w:rsidR="00A70776" w:rsidRPr="00A07610" w:rsidRDefault="00A70776" w:rsidP="00A70776">
      <w:pPr>
        <w:pStyle w:val="Tekstprzypisudolnego"/>
        <w:spacing w:line="276" w:lineRule="auto"/>
      </w:pPr>
      <w:r w:rsidRPr="00091243">
        <w:rPr>
          <w:rStyle w:val="Odwoanieprzypisudolnego"/>
          <w:sz w:val="24"/>
        </w:rPr>
        <w:footnoteRef/>
      </w:r>
      <w:r w:rsidRPr="00091243">
        <w:rPr>
          <w:sz w:val="24"/>
        </w:rPr>
        <w:t xml:space="preserve"> </w:t>
      </w:r>
      <w:r w:rsidRPr="00A07610">
        <w:t>tereny opuszczone i poprzemysłowe – należy przez to rozumieć nieużytkowane lub nie w pełni wykorzystane tereny, które pierwotnie przeznaczone były pod działalność gospodarczą, która obecnie została zakończona, w tym również otoczenie zakładów przemysłowych, w szczególności zdegradowane obszary, które ze względu na obecność substancji niebezpiecznych nie nadają się do ponownego zagospodarowania.</w:t>
      </w:r>
    </w:p>
  </w:footnote>
  <w:footnote w:id="7">
    <w:p w14:paraId="5990C092" w14:textId="77777777" w:rsidR="00985F69" w:rsidRPr="00091243" w:rsidRDefault="00985F69" w:rsidP="00985F69">
      <w:pPr>
        <w:pStyle w:val="Tekstprzypisudolnego"/>
        <w:spacing w:line="276" w:lineRule="auto"/>
        <w:rPr>
          <w:sz w:val="24"/>
        </w:rPr>
      </w:pPr>
      <w:r w:rsidRPr="00091243">
        <w:rPr>
          <w:rStyle w:val="Odwoanieprzypisudolnego"/>
          <w:sz w:val="24"/>
        </w:rPr>
        <w:footnoteRef/>
      </w:r>
      <w:r w:rsidRPr="00091243">
        <w:rPr>
          <w:sz w:val="24"/>
        </w:rPr>
        <w:t xml:space="preserve"> </w:t>
      </w:r>
      <w:r w:rsidRPr="00A07610">
        <w:t xml:space="preserve">W rozumieniu </w:t>
      </w:r>
      <w:r w:rsidRPr="00A07610">
        <w:rPr>
          <w:rStyle w:val="ui-provider"/>
        </w:rPr>
        <w:t>Wytycznych dotyczących kwalifikowalności wydatków na lata 2021-2027</w:t>
      </w:r>
    </w:p>
  </w:footnote>
  <w:footnote w:id="8">
    <w:p w14:paraId="610D522E" w14:textId="77777777" w:rsidR="00956759" w:rsidRPr="00762814" w:rsidRDefault="00956759" w:rsidP="00956759">
      <w:pPr>
        <w:pStyle w:val="Akapitzlist"/>
        <w:spacing w:after="120" w:line="276" w:lineRule="auto"/>
        <w:ind w:left="0"/>
        <w:rPr>
          <w:rFonts w:cstheme="minorHAnsi"/>
          <w:sz w:val="24"/>
          <w:szCs w:val="24"/>
        </w:rPr>
      </w:pPr>
      <w:r>
        <w:rPr>
          <w:rStyle w:val="Odwoanieprzypisudolnego"/>
        </w:rPr>
        <w:footnoteRef/>
      </w:r>
      <w:r>
        <w:t xml:space="preserve"> </w:t>
      </w:r>
      <w:r w:rsidRPr="00151815">
        <w:rPr>
          <w:rFonts w:cstheme="minorHAnsi"/>
          <w:bCs/>
          <w:sz w:val="20"/>
          <w:szCs w:val="20"/>
        </w:rPr>
        <w:t>Przez szkolenia realizowane poza Rzeczpospolitą Polską należy również rozumieć szkolenia online realizowane przez podmiot zagraniczny.</w:t>
      </w:r>
    </w:p>
    <w:p w14:paraId="537B0CEF" w14:textId="57169B6E" w:rsidR="00956759" w:rsidRDefault="00956759">
      <w:pPr>
        <w:pStyle w:val="Tekstprzypisudolnego"/>
      </w:pPr>
    </w:p>
  </w:footnote>
  <w:footnote w:id="9">
    <w:p w14:paraId="5D53E7A5" w14:textId="348FD494" w:rsidR="00C34894" w:rsidRPr="002B184C" w:rsidRDefault="00C34894">
      <w:pPr>
        <w:pStyle w:val="Tekstprzypisudolnego"/>
        <w:rPr>
          <w:rFonts w:cstheme="minorHAnsi"/>
        </w:rPr>
      </w:pPr>
      <w:r>
        <w:rPr>
          <w:rStyle w:val="Odwoanieprzypisudolnego"/>
        </w:rPr>
        <w:footnoteRef/>
      </w:r>
      <w:r>
        <w:t xml:space="preserve"> </w:t>
      </w:r>
      <w:r w:rsidRPr="002B184C">
        <w:rPr>
          <w:rFonts w:cstheme="minorHAnsi"/>
        </w:rPr>
        <w:t xml:space="preserve">CCS oznacza </w:t>
      </w:r>
      <w:r w:rsidRPr="00151815">
        <w:rPr>
          <w:rFonts w:cstheme="minorHAnsi"/>
        </w:rPr>
        <w:t>wychwytywanie i składowanie dwutlenku węgla</w:t>
      </w:r>
    </w:p>
  </w:footnote>
  <w:footnote w:id="10">
    <w:p w14:paraId="49D07657" w14:textId="7899CCDC" w:rsidR="00C34894" w:rsidRDefault="00C34894">
      <w:pPr>
        <w:pStyle w:val="Tekstprzypisudolnego"/>
      </w:pPr>
      <w:r w:rsidRPr="002B184C">
        <w:rPr>
          <w:rStyle w:val="Odwoanieprzypisudolnego"/>
          <w:rFonts w:cstheme="minorHAnsi"/>
        </w:rPr>
        <w:footnoteRef/>
      </w:r>
      <w:r w:rsidRPr="002B184C">
        <w:rPr>
          <w:rFonts w:cstheme="minorHAnsi"/>
        </w:rPr>
        <w:t xml:space="preserve"> CCU oznacza </w:t>
      </w:r>
      <w:r w:rsidRPr="00151815">
        <w:rPr>
          <w:rFonts w:cstheme="minorHAnsi"/>
        </w:rPr>
        <w:t>wychwytywanie i utylizację dwutlenku węgla</w:t>
      </w:r>
    </w:p>
  </w:footnote>
  <w:footnote w:id="11">
    <w:p w14:paraId="4E247D03" w14:textId="77777777" w:rsidR="00BA7C34" w:rsidRDefault="00BA7C34" w:rsidP="00BA7C34">
      <w:pPr>
        <w:pStyle w:val="Tekstprzypisudolnego"/>
      </w:pPr>
      <w:r>
        <w:rPr>
          <w:rStyle w:val="Odwoanieprzypisudolnego"/>
        </w:rPr>
        <w:footnoteRef/>
      </w:r>
      <w:r>
        <w:t xml:space="preserve"> Z</w:t>
      </w:r>
      <w:r w:rsidRPr="009A012D">
        <w:t>większenia intensywności nie stosuje się w przypadku gdy inwestycja nie poprawia efektywności energetycznej budynku ponad poziom wynikający z minimalnych norm unijnych obowiązujących w okresie krótszym niż 18 miesięcy od momentu realizacji i zakończenia inwestycji</w:t>
      </w:r>
      <w:r>
        <w:t>.</w:t>
      </w:r>
    </w:p>
  </w:footnote>
  <w:footnote w:id="12">
    <w:p w14:paraId="7ECEA2D4" w14:textId="77777777" w:rsidR="006A63B6" w:rsidRPr="00091243" w:rsidRDefault="006A63B6" w:rsidP="006A63B6">
      <w:pPr>
        <w:pStyle w:val="Tekstprzypisudolnego"/>
        <w:spacing w:line="276" w:lineRule="auto"/>
        <w:rPr>
          <w:sz w:val="24"/>
        </w:rPr>
      </w:pPr>
      <w:r w:rsidRPr="00091243">
        <w:rPr>
          <w:rStyle w:val="Odwoanieprzypisudolnego"/>
          <w:sz w:val="24"/>
        </w:rPr>
        <w:footnoteRef/>
      </w:r>
      <w:r w:rsidRPr="00091243">
        <w:rPr>
          <w:sz w:val="24"/>
        </w:rPr>
        <w:t xml:space="preserve"> </w:t>
      </w:r>
      <w:r w:rsidRPr="00A07610">
        <w:t xml:space="preserve">W rozumieniu </w:t>
      </w:r>
      <w:r w:rsidRPr="00A07610">
        <w:rPr>
          <w:rStyle w:val="ui-provider"/>
        </w:rPr>
        <w:t>Wytycznych dotyczących kwalifikowalności wydatków na lata 2021-2027</w:t>
      </w:r>
    </w:p>
  </w:footnote>
  <w:footnote w:id="13">
    <w:p w14:paraId="46EC4A13" w14:textId="48C2B5DD" w:rsidR="007E4064" w:rsidRPr="00A3095B" w:rsidRDefault="007E4064">
      <w:pPr>
        <w:pStyle w:val="Tekstprzypisudolnego"/>
        <w:rPr>
          <w:rFonts w:cstheme="minorHAnsi"/>
        </w:rPr>
      </w:pPr>
      <w:r>
        <w:rPr>
          <w:rStyle w:val="Odwoanieprzypisudolnego"/>
        </w:rPr>
        <w:footnoteRef/>
      </w:r>
      <w:r>
        <w:t xml:space="preserve"> </w:t>
      </w:r>
      <w:r w:rsidRPr="00461F14">
        <w:rPr>
          <w:rFonts w:cstheme="minorHAnsi"/>
          <w:color w:val="000000" w:themeColor="text1"/>
          <w:sz w:val="18"/>
          <w:szCs w:val="18"/>
        </w:rPr>
        <w:t xml:space="preserve">Intensywność pomocy nie może przekroczyć limitów intensywności wsparcia wskazanych w rozporządzeniu Rady Ministrów z dnia 14 grudnia </w:t>
      </w:r>
      <w:r w:rsidRPr="00A3095B">
        <w:rPr>
          <w:rFonts w:cstheme="minorHAnsi"/>
          <w:color w:val="000000" w:themeColor="text1"/>
          <w:sz w:val="18"/>
          <w:szCs w:val="18"/>
        </w:rPr>
        <w:t xml:space="preserve">2021 r. </w:t>
      </w:r>
      <w:r w:rsidRPr="00A3095B">
        <w:rPr>
          <w:rStyle w:val="Odwoaniedokomentarza"/>
          <w:sz w:val="18"/>
          <w:szCs w:val="18"/>
        </w:rPr>
        <w:t/>
      </w:r>
      <w:r w:rsidRPr="00A3095B">
        <w:rPr>
          <w:rStyle w:val="Odwoaniedokomentarza"/>
          <w:sz w:val="18"/>
          <w:szCs w:val="18"/>
        </w:rPr>
        <w:t/>
      </w:r>
      <w:r w:rsidRPr="00A3095B">
        <w:rPr>
          <w:rStyle w:val="Odwoaniedokomentarza"/>
          <w:sz w:val="18"/>
          <w:szCs w:val="18"/>
        </w:rPr>
        <w:t/>
      </w:r>
      <w:r w:rsidRPr="00A3095B">
        <w:rPr>
          <w:rFonts w:cstheme="minorHAnsi"/>
          <w:color w:val="000000" w:themeColor="text1"/>
          <w:sz w:val="18"/>
          <w:szCs w:val="18"/>
        </w:rPr>
        <w:t>w sprawie ustalenia mapy pomocy regionalnej na lata 2022-2027 (Dz. U. poz. 2422</w:t>
      </w:r>
      <w:r w:rsidRPr="00A3095B">
        <w:rPr>
          <w:rStyle w:val="Odwoaniedokomentarza"/>
          <w:sz w:val="18"/>
          <w:szCs w:val="18"/>
        </w:rPr>
        <w:t/>
      </w:r>
      <w:r w:rsidRPr="00A3095B">
        <w:rPr>
          <w:rStyle w:val="Odwoaniedokomentarza"/>
          <w:sz w:val="18"/>
          <w:szCs w:val="18"/>
        </w:rPr>
        <w:t/>
      </w:r>
      <w:r w:rsidRPr="00A3095B">
        <w:rPr>
          <w:rFonts w:cstheme="minorHAnsi"/>
          <w:color w:val="000000" w:themeColor="text1"/>
          <w:sz w:val="18"/>
          <w:szCs w:val="18"/>
        </w:rPr>
        <w:t xml:space="preserve">) w przypadku Regionalnej pomocy inwestycyjnej. </w:t>
      </w:r>
      <w:r w:rsidR="00A3095B" w:rsidRPr="00151815">
        <w:rPr>
          <w:rFonts w:cstheme="minorHAnsi"/>
          <w:sz w:val="18"/>
          <w:szCs w:val="18"/>
        </w:rPr>
        <w:t>Intensywności wskazane w tabeli 1 będą obowiązywały od dnia wejścia w życie rozporządzenia Rady Ministrów zmieniającego rozporządzenie w sprawie ustalenia mapy pomocy regionalnej na lata 2022–2027 (nr w wykazie prac legislacyjnych Rady Ministrów RC8.</w:t>
      </w:r>
    </w:p>
  </w:footnote>
  <w:footnote w:id="14">
    <w:p w14:paraId="7AA2EDBA" w14:textId="5842ACCD" w:rsidR="000E5F36" w:rsidRPr="002C4006" w:rsidRDefault="000E5F36">
      <w:pPr>
        <w:pStyle w:val="Tekstprzypisudolnego"/>
      </w:pPr>
      <w:r w:rsidRPr="007B610A">
        <w:rPr>
          <w:rStyle w:val="Odwoanieprzypisudolnego"/>
        </w:rPr>
        <w:footnoteRef/>
      </w:r>
      <w:r w:rsidRPr="00A07610">
        <w:t xml:space="preserve"> Intensywność ma zastosowanie również dla MŚP w przypadku dużych projektów inwestycyjnych, dla których wartość kosztów kwalifikowalnych wynosi co </w:t>
      </w:r>
      <w:r w:rsidRPr="0045116D">
        <w:t>najmniej 55 mln EUR.</w:t>
      </w:r>
    </w:p>
  </w:footnote>
  <w:footnote w:id="15">
    <w:p w14:paraId="12FE8CE6" w14:textId="77777777" w:rsidR="000E5F36" w:rsidRPr="00A07610" w:rsidRDefault="000E5F36" w:rsidP="0018262B">
      <w:pPr>
        <w:pStyle w:val="Tekstprzypisudolnego"/>
      </w:pPr>
      <w:r w:rsidRPr="00A07610">
        <w:rPr>
          <w:rStyle w:val="Odwoanieprzypisudolnego"/>
        </w:rPr>
        <w:footnoteRef/>
      </w:r>
      <w:r w:rsidRPr="00A07610">
        <w:t xml:space="preserve"> </w:t>
      </w:r>
      <w:r w:rsidRPr="00A07610">
        <w:rPr>
          <w:b/>
          <w:bCs/>
        </w:rPr>
        <w:t>Obszary „a”</w:t>
      </w:r>
      <w:r w:rsidRPr="00A07610">
        <w:t xml:space="preserve"> – obszary kwalifikujące się do uzyskania pomocy na mocy art. 107 ust. 3 lit. a) Traktatu o funkcjonowaniu Unii Europejskiej. Na tych obszarach pomoc może być przyznana na inwestycję początkową niezależnie od wielkości przedsiębiorstwa.</w:t>
      </w:r>
    </w:p>
  </w:footnote>
  <w:footnote w:id="16">
    <w:p w14:paraId="324DF49E" w14:textId="1386AD43" w:rsidR="000E5F36" w:rsidRPr="00A07610" w:rsidRDefault="000E5F36">
      <w:pPr>
        <w:pStyle w:val="Tekstprzypisudolnego"/>
      </w:pPr>
      <w:r w:rsidRPr="00A07610">
        <w:rPr>
          <w:rStyle w:val="Odwoanieprzypisudolnego"/>
        </w:rPr>
        <w:footnoteRef/>
      </w:r>
      <w:r w:rsidRPr="00A07610">
        <w:t xml:space="preserve"> Intensywność ma zastosowanie również dla MŚP w przypadku dużych projektów inwestycyjnych, dla których wartość kosztów kwalifikowalnych wynosi co </w:t>
      </w:r>
      <w:r w:rsidRPr="0045116D">
        <w:t>najmniej 55 mln EUR.</w:t>
      </w:r>
    </w:p>
  </w:footnote>
  <w:footnote w:id="17">
    <w:p w14:paraId="4A700A7A" w14:textId="77777777" w:rsidR="000E5F36" w:rsidRPr="002C4006" w:rsidRDefault="000E5F36" w:rsidP="0018262B">
      <w:pPr>
        <w:pStyle w:val="Tekstprzypisudolnego"/>
      </w:pPr>
      <w:r w:rsidRPr="002C4006">
        <w:rPr>
          <w:rStyle w:val="Odwoanieprzypisudolnego"/>
        </w:rPr>
        <w:footnoteRef/>
      </w:r>
      <w:r w:rsidRPr="002C4006">
        <w:t xml:space="preserve"> Uwzględniono zwiększenie intensywności pomocy dla terytoriów wybranych do objęcia wsparciem z Funduszu na rzecz Sprawiedliwej Transformacji (od 16.02.2023 r.).</w:t>
      </w:r>
    </w:p>
  </w:footnote>
  <w:footnote w:id="18">
    <w:p w14:paraId="474EC9A1" w14:textId="77777777" w:rsidR="000E5F36" w:rsidRPr="002C4006" w:rsidRDefault="000E5F36" w:rsidP="0018262B">
      <w:pPr>
        <w:pStyle w:val="Tekstprzypisudolnego"/>
      </w:pPr>
      <w:r w:rsidRPr="00A07610">
        <w:rPr>
          <w:rStyle w:val="Odwoanieprzypisudolnego"/>
        </w:rPr>
        <w:footnoteRef/>
      </w:r>
      <w:r w:rsidRPr="002C4006">
        <w:t xml:space="preserve"> Jw.</w:t>
      </w:r>
    </w:p>
  </w:footnote>
  <w:footnote w:id="19">
    <w:p w14:paraId="349A0120" w14:textId="77777777" w:rsidR="000E5F36" w:rsidRPr="00A07610" w:rsidRDefault="000E5F36" w:rsidP="0018262B">
      <w:pPr>
        <w:pStyle w:val="Tekstprzypisudolnego"/>
      </w:pPr>
      <w:r w:rsidRPr="002C4006">
        <w:rPr>
          <w:rStyle w:val="Odwoanieprzypisudolnego"/>
        </w:rPr>
        <w:footnoteRef/>
      </w:r>
      <w:r w:rsidRPr="00A07610">
        <w:t xml:space="preserve"> Jw.</w:t>
      </w:r>
    </w:p>
  </w:footnote>
  <w:footnote w:id="20">
    <w:p w14:paraId="132A0816" w14:textId="77777777" w:rsidR="000E5F36" w:rsidRPr="002C4006" w:rsidRDefault="000E5F36" w:rsidP="0018262B">
      <w:pPr>
        <w:pStyle w:val="Tekstprzypisudolnego"/>
      </w:pPr>
      <w:r w:rsidRPr="002C4006">
        <w:rPr>
          <w:rStyle w:val="Odwoanieprzypisudolnego"/>
        </w:rPr>
        <w:footnoteRef/>
      </w:r>
      <w:r w:rsidRPr="002C4006">
        <w:t xml:space="preserve"> Uwzględniono zwiększenie intensywności pomocy dla terytoriów wybranych do objęcia wsparciem z Funduszu na rzecz Sprawiedliwej Transformacji (od 16.02.2023 r.).</w:t>
      </w:r>
    </w:p>
  </w:footnote>
  <w:footnote w:id="21">
    <w:p w14:paraId="4E84F734" w14:textId="77777777" w:rsidR="000E5F36" w:rsidRPr="002C4006" w:rsidRDefault="000E5F36" w:rsidP="0018262B">
      <w:pPr>
        <w:pStyle w:val="Tekstprzypisudolnego"/>
      </w:pPr>
      <w:r w:rsidRPr="00A07610">
        <w:rPr>
          <w:rStyle w:val="Odwoanieprzypisudolnego"/>
        </w:rPr>
        <w:footnoteRef/>
      </w:r>
      <w:r w:rsidRPr="002C4006">
        <w:t xml:space="preserve"> Jw.</w:t>
      </w:r>
    </w:p>
  </w:footnote>
  <w:footnote w:id="22">
    <w:p w14:paraId="5E0C5D1B" w14:textId="77777777" w:rsidR="000E5F36" w:rsidRPr="002C4006" w:rsidRDefault="000E5F36" w:rsidP="0018262B">
      <w:pPr>
        <w:pStyle w:val="Tekstprzypisudolnego"/>
      </w:pPr>
      <w:r w:rsidRPr="002C4006">
        <w:rPr>
          <w:rStyle w:val="Odwoanieprzypisudolnego"/>
        </w:rPr>
        <w:footnoteRef/>
      </w:r>
      <w:r w:rsidRPr="002C4006">
        <w:t xml:space="preserve"> Jw.</w:t>
      </w:r>
    </w:p>
  </w:footnote>
  <w:footnote w:id="23">
    <w:p w14:paraId="1B5CBF22" w14:textId="77777777" w:rsidR="000E5F36" w:rsidRPr="002C4006" w:rsidRDefault="000E5F36" w:rsidP="0018262B">
      <w:pPr>
        <w:pStyle w:val="Tekstprzypisudolnego"/>
      </w:pPr>
      <w:r w:rsidRPr="002C4006">
        <w:rPr>
          <w:rStyle w:val="Odwoanieprzypisudolnego"/>
        </w:rPr>
        <w:footnoteRef/>
      </w:r>
      <w:r w:rsidRPr="002C4006">
        <w:t xml:space="preserve"> Uwzględniono zwiększenie intensywności pomocy dla terytoriów wybranych do objęcia wsparciem z Funduszu na rzecz Sprawiedliwej Transformacji (od 16.02.2023 r.).</w:t>
      </w:r>
    </w:p>
  </w:footnote>
  <w:footnote w:id="24">
    <w:p w14:paraId="501D4B86" w14:textId="77777777" w:rsidR="000E5F36" w:rsidRPr="002C4006" w:rsidRDefault="000E5F36" w:rsidP="0018262B">
      <w:pPr>
        <w:pStyle w:val="Tekstprzypisudolnego"/>
      </w:pPr>
      <w:r w:rsidRPr="002C4006">
        <w:rPr>
          <w:rStyle w:val="Odwoanieprzypisudolnego"/>
        </w:rPr>
        <w:footnoteRef/>
      </w:r>
      <w:r w:rsidRPr="002C4006">
        <w:t xml:space="preserve"> Jw.</w:t>
      </w:r>
    </w:p>
  </w:footnote>
  <w:footnote w:id="25">
    <w:p w14:paraId="0EE73B29" w14:textId="77777777" w:rsidR="000E5F36" w:rsidRPr="00A07610" w:rsidRDefault="000E5F36" w:rsidP="0018262B">
      <w:pPr>
        <w:pStyle w:val="Tekstprzypisudolnego"/>
      </w:pPr>
      <w:r w:rsidRPr="00A07610">
        <w:rPr>
          <w:rStyle w:val="Odwoanieprzypisudolnego"/>
        </w:rPr>
        <w:footnoteRef/>
      </w:r>
      <w:r w:rsidRPr="00A07610">
        <w:t xml:space="preserve"> Jw.</w:t>
      </w:r>
    </w:p>
  </w:footnote>
  <w:footnote w:id="26">
    <w:p w14:paraId="57D54173" w14:textId="4DF4B1F6" w:rsidR="006B374F" w:rsidRPr="00A07610" w:rsidRDefault="006B374F" w:rsidP="0018262B">
      <w:pPr>
        <w:pStyle w:val="Tekstprzypisudolnego"/>
      </w:pPr>
      <w:r>
        <w:rPr>
          <w:rStyle w:val="Odwoanieprzypisudolnego"/>
        </w:rPr>
        <w:footnoteRef/>
      </w:r>
      <w:r>
        <w:t xml:space="preserve"> </w:t>
      </w:r>
      <w:r w:rsidRPr="00A07610">
        <w:rPr>
          <w:b/>
          <w:bCs/>
        </w:rPr>
        <w:t>Obszary „c”</w:t>
      </w:r>
      <w:r w:rsidRPr="00A07610">
        <w:t xml:space="preserve"> – obszary kwalifikujące się do uzyskania pomocy na mocy art. 107 ust. 3 lit. c) Traktatu o funkcjonowaniu Unii Europejskiej. Na tych obszarach pomoc może być przyznana dla MŚP na dowolną formę inwestycji początkowej. Natomiast pomoc dla dużych przedsiębiorstw może zostać przyznana wyłącznie na inwestycję początkową na rzecz nowej działalności gospodarczej w danym obszarze. </w:t>
      </w:r>
    </w:p>
    <w:p w14:paraId="2B3CC367" w14:textId="77777777" w:rsidR="006B374F" w:rsidRPr="002C4006" w:rsidRDefault="006B374F" w:rsidP="0018262B">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80A77" w14:textId="66BC9CC9" w:rsidR="000E5F36" w:rsidRDefault="000E5F36" w:rsidP="00762814">
    <w:pPr>
      <w:pStyle w:val="Nagwek"/>
      <w:jc w:val="right"/>
      <w:rPr>
        <w:rFonts w:ascii="Times New Roman" w:hAnsi="Times New Roman"/>
        <w:sz w:val="20"/>
        <w:szCs w:val="20"/>
      </w:rPr>
    </w:pPr>
    <w:r>
      <w:rPr>
        <w:noProof/>
        <w:lang w:eastAsia="pl-PL"/>
      </w:rPr>
      <w:drawing>
        <wp:inline distT="0" distB="0" distL="0" distR="0" wp14:anchorId="411E1BA5" wp14:editId="3B175F8F">
          <wp:extent cx="5486400" cy="495300"/>
          <wp:effectExtent l="0" t="0" r="0" b="0"/>
          <wp:docPr id="1009313758" name="Obraz 1009313758" descr="Fundusze Europejskie dla Nowoczesnej Gospodarki; Rzeczpospolita Polska; Dofinansowane przez Unię Ueropejską. PARP, Grupa PFR" title="Ciąg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_nowoczesna_gospodarka_kolor.jpg"/>
                  <pic:cNvPicPr/>
                </pic:nvPicPr>
                <pic:blipFill>
                  <a:blip r:embed="rId1">
                    <a:extLst>
                      <a:ext uri="{28A0092B-C50C-407E-A947-70E740481C1C}">
                        <a14:useLocalDpi xmlns:a14="http://schemas.microsoft.com/office/drawing/2010/main" val="0"/>
                      </a:ext>
                    </a:extLst>
                  </a:blip>
                  <a:stretch>
                    <a:fillRect/>
                  </a:stretch>
                </pic:blipFill>
                <pic:spPr>
                  <a:xfrm>
                    <a:off x="0" y="0"/>
                    <a:ext cx="5540267" cy="500163"/>
                  </a:xfrm>
                  <a:prstGeom prst="rect">
                    <a:avLst/>
                  </a:prstGeom>
                </pic:spPr>
              </pic:pic>
            </a:graphicData>
          </a:graphic>
        </wp:inline>
      </w:drawing>
    </w:r>
    <w:r w:rsidRPr="000E501D">
      <w:t xml:space="preserve"> </w:t>
    </w:r>
    <w:sdt>
      <w:sdtPr>
        <w:id w:val="138461451"/>
        <w:docPartObj>
          <w:docPartGallery w:val="Page Numbers (Top of Page)"/>
          <w:docPartUnique/>
        </w:docPartObj>
      </w:sdtPr>
      <w:sdtEndPr>
        <w:rPr>
          <w:sz w:val="24"/>
          <w:szCs w:val="24"/>
        </w:rPr>
      </w:sdtEndPr>
      <w:sdtContent>
        <w:r w:rsidRPr="00414B1F">
          <w:rPr>
            <w:sz w:val="24"/>
            <w:szCs w:val="24"/>
          </w:rPr>
          <w:fldChar w:fldCharType="begin"/>
        </w:r>
        <w:r w:rsidRPr="00414B1F">
          <w:rPr>
            <w:sz w:val="24"/>
            <w:szCs w:val="24"/>
          </w:rPr>
          <w:instrText>PAGE   \* MERGEFORMAT</w:instrText>
        </w:r>
        <w:r w:rsidRPr="00414B1F">
          <w:rPr>
            <w:sz w:val="24"/>
            <w:szCs w:val="24"/>
          </w:rPr>
          <w:fldChar w:fldCharType="separate"/>
        </w:r>
        <w:r>
          <w:rPr>
            <w:noProof/>
            <w:sz w:val="24"/>
            <w:szCs w:val="24"/>
          </w:rPr>
          <w:t>21</w:t>
        </w:r>
        <w:r w:rsidRPr="00414B1F">
          <w:rPr>
            <w:sz w:val="24"/>
            <w:szCs w:val="24"/>
          </w:rPr>
          <w:fldChar w:fldCharType="end"/>
        </w:r>
      </w:sdtContent>
    </w:sdt>
  </w:p>
  <w:p w14:paraId="0F123C3B" w14:textId="1BA405CE" w:rsidR="000E5F36" w:rsidRDefault="000E5F36" w:rsidP="006D282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7816" w14:textId="21E24A44" w:rsidR="000E5F36" w:rsidRPr="00930477" w:rsidRDefault="0097456F" w:rsidP="00930477">
    <w:pPr>
      <w:pStyle w:val="Nagwek"/>
      <w:jc w:val="right"/>
    </w:pPr>
    <w:r>
      <w:rPr>
        <w:noProof/>
        <w:lang w:eastAsia="pl-PL"/>
      </w:rPr>
      <w:drawing>
        <wp:inline distT="0" distB="0" distL="0" distR="0" wp14:anchorId="0147E547" wp14:editId="3E338EB7">
          <wp:extent cx="5486400" cy="495300"/>
          <wp:effectExtent l="0" t="0" r="0" b="0"/>
          <wp:docPr id="1886174958" name="Obraz 1886174958" descr="Fundusze Europejskie dla Nowoczesnej Gospodarki; Rzeczpospolita Polska; Dofinansowane przez Unię Ueropejską. PARP, Grupa PFR" title="Ciąg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_nowoczesna_gospodarka_k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0267" cy="500163"/>
                  </a:xfrm>
                  <a:prstGeom prst="rect">
                    <a:avLst/>
                  </a:prstGeom>
                </pic:spPr>
              </pic:pic>
            </a:graphicData>
          </a:graphic>
        </wp:inline>
      </w:drawing>
    </w:r>
    <w:sdt>
      <w:sdtPr>
        <w:id w:val="-163013142"/>
        <w:docPartObj>
          <w:docPartGallery w:val="Page Numbers (Top of Page)"/>
          <w:docPartUnique/>
        </w:docPartObj>
      </w:sdtPr>
      <w:sdtEndPr>
        <w:rPr>
          <w:sz w:val="24"/>
          <w:szCs w:val="24"/>
        </w:rPr>
      </w:sdtEndPr>
      <w:sdtContent>
        <w:r w:rsidR="000E5F36" w:rsidRPr="00414B1F">
          <w:rPr>
            <w:sz w:val="24"/>
            <w:szCs w:val="24"/>
          </w:rPr>
          <w:fldChar w:fldCharType="begin"/>
        </w:r>
        <w:r w:rsidR="000E5F36" w:rsidRPr="00414B1F">
          <w:rPr>
            <w:sz w:val="24"/>
            <w:szCs w:val="24"/>
          </w:rPr>
          <w:instrText>PAGE   \* MERGEFORMAT</w:instrText>
        </w:r>
        <w:r w:rsidR="000E5F36" w:rsidRPr="00414B1F">
          <w:rPr>
            <w:sz w:val="24"/>
            <w:szCs w:val="24"/>
          </w:rPr>
          <w:fldChar w:fldCharType="separate"/>
        </w:r>
        <w:r w:rsidR="000E5F36">
          <w:rPr>
            <w:noProof/>
            <w:sz w:val="24"/>
            <w:szCs w:val="24"/>
          </w:rPr>
          <w:t>1</w:t>
        </w:r>
        <w:r w:rsidR="000E5F36" w:rsidRPr="00414B1F">
          <w:rPr>
            <w:sz w:val="24"/>
            <w:szCs w:val="24"/>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3126"/>
    <w:multiLevelType w:val="hybridMultilevel"/>
    <w:tmpl w:val="32C88F1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2AB18B8"/>
    <w:multiLevelType w:val="hybridMultilevel"/>
    <w:tmpl w:val="ED44082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434FE9"/>
    <w:multiLevelType w:val="hybridMultilevel"/>
    <w:tmpl w:val="0F9E64AE"/>
    <w:lvl w:ilvl="0" w:tplc="EF508978">
      <w:start w:val="1"/>
      <w:numFmt w:val="decimal"/>
      <w:lvlText w:val="%1)"/>
      <w:lvlJc w:val="left"/>
      <w:pPr>
        <w:ind w:left="794" w:hanging="34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DF3711"/>
    <w:multiLevelType w:val="hybridMultilevel"/>
    <w:tmpl w:val="B10A6C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137ED7"/>
    <w:multiLevelType w:val="hybridMultilevel"/>
    <w:tmpl w:val="A608FC48"/>
    <w:lvl w:ilvl="0" w:tplc="FF168F2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08277688"/>
    <w:multiLevelType w:val="hybridMultilevel"/>
    <w:tmpl w:val="300490D2"/>
    <w:lvl w:ilvl="0" w:tplc="FF168F2A">
      <w:start w:val="1"/>
      <w:numFmt w:val="bullet"/>
      <w:lvlText w:val=""/>
      <w:lvlJc w:val="left"/>
      <w:pPr>
        <w:ind w:left="1428" w:hanging="360"/>
      </w:pPr>
      <w:rPr>
        <w:rFonts w:ascii="Symbol" w:hAnsi="Symbol" w:hint="default"/>
        <w:color w:val="auto"/>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 w15:restartNumberingAfterBreak="0">
    <w:nsid w:val="0A865860"/>
    <w:multiLevelType w:val="multilevel"/>
    <w:tmpl w:val="9004629C"/>
    <w:lvl w:ilvl="0">
      <w:start w:val="1"/>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BC24BF6"/>
    <w:multiLevelType w:val="hybridMultilevel"/>
    <w:tmpl w:val="CD9694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0F7E51"/>
    <w:multiLevelType w:val="multilevel"/>
    <w:tmpl w:val="641013CE"/>
    <w:lvl w:ilvl="0">
      <w:start w:val="7"/>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216C0A"/>
    <w:multiLevelType w:val="hybridMultilevel"/>
    <w:tmpl w:val="111495FA"/>
    <w:lvl w:ilvl="0" w:tplc="4FFCD310">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168648C"/>
    <w:multiLevelType w:val="hybridMultilevel"/>
    <w:tmpl w:val="32C88F1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4A81672"/>
    <w:multiLevelType w:val="hybridMultilevel"/>
    <w:tmpl w:val="5C2C60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B9257E"/>
    <w:multiLevelType w:val="hybridMultilevel"/>
    <w:tmpl w:val="01D0C03A"/>
    <w:lvl w:ilvl="0" w:tplc="04150017">
      <w:start w:val="1"/>
      <w:numFmt w:val="lowerLetter"/>
      <w:lvlText w:val="%1)"/>
      <w:lvlJc w:val="left"/>
      <w:pPr>
        <w:ind w:left="644" w:hanging="360"/>
      </w:pPr>
      <w:rPr>
        <w:rFonts w:hint="default"/>
        <w:color w:val="auto"/>
      </w:rPr>
    </w:lvl>
    <w:lvl w:ilvl="1" w:tplc="1BACEC9A">
      <w:numFmt w:val="bullet"/>
      <w:lvlText w:val="•"/>
      <w:lvlJc w:val="left"/>
      <w:pPr>
        <w:ind w:left="1785" w:hanging="705"/>
      </w:pPr>
      <w:rPr>
        <w:rFonts w:ascii="Arial" w:eastAsiaTheme="minorHAnsi" w:hAnsi="Arial" w:cs="Arial" w:hint="default"/>
      </w:rPr>
    </w:lvl>
    <w:lvl w:ilvl="2" w:tplc="F078E2D0">
      <w:start w:val="1"/>
      <w:numFmt w:val="lowerLetter"/>
      <w:lvlText w:val="%3)"/>
      <w:lvlJc w:val="left"/>
      <w:pPr>
        <w:ind w:left="2160" w:hanging="360"/>
      </w:pPr>
      <w:rPr>
        <w:rFonts w:hint="default"/>
        <w:b/>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6224E93"/>
    <w:multiLevelType w:val="multilevel"/>
    <w:tmpl w:val="2A32239C"/>
    <w:lvl w:ilvl="0">
      <w:start w:val="8"/>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AFE39FC"/>
    <w:multiLevelType w:val="hybridMultilevel"/>
    <w:tmpl w:val="78863E78"/>
    <w:lvl w:ilvl="0" w:tplc="3488CC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DF6D57"/>
    <w:multiLevelType w:val="hybridMultilevel"/>
    <w:tmpl w:val="34388F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963722"/>
    <w:multiLevelType w:val="hybridMultilevel"/>
    <w:tmpl w:val="9DD2250A"/>
    <w:lvl w:ilvl="0" w:tplc="205A87BC">
      <w:start w:val="1"/>
      <w:numFmt w:val="lowerLetter"/>
      <w:lvlText w:val="%1)"/>
      <w:lvlJc w:val="left"/>
      <w:pPr>
        <w:ind w:left="720" w:hanging="36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B6758D"/>
    <w:multiLevelType w:val="multilevel"/>
    <w:tmpl w:val="C8D08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09733F"/>
    <w:multiLevelType w:val="hybridMultilevel"/>
    <w:tmpl w:val="0FDA853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ACF023F"/>
    <w:multiLevelType w:val="hybridMultilevel"/>
    <w:tmpl w:val="BCB4E18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0E6368C"/>
    <w:multiLevelType w:val="hybridMultilevel"/>
    <w:tmpl w:val="393863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8631B4"/>
    <w:multiLevelType w:val="hybridMultilevel"/>
    <w:tmpl w:val="6F70A13A"/>
    <w:lvl w:ilvl="0" w:tplc="B9F46FCA">
      <w:start w:val="1"/>
      <w:numFmt w:val="lowerLetter"/>
      <w:lvlText w:val="%1)"/>
      <w:lvlJc w:val="left"/>
      <w:pPr>
        <w:ind w:left="747" w:hanging="360"/>
      </w:pPr>
      <w:rPr>
        <w:b/>
      </w:rPr>
    </w:lvl>
    <w:lvl w:ilvl="1" w:tplc="04150019" w:tentative="1">
      <w:start w:val="1"/>
      <w:numFmt w:val="lowerLetter"/>
      <w:lvlText w:val="%2."/>
      <w:lvlJc w:val="left"/>
      <w:pPr>
        <w:ind w:left="1467" w:hanging="360"/>
      </w:pPr>
    </w:lvl>
    <w:lvl w:ilvl="2" w:tplc="0415001B" w:tentative="1">
      <w:start w:val="1"/>
      <w:numFmt w:val="lowerRoman"/>
      <w:lvlText w:val="%3."/>
      <w:lvlJc w:val="right"/>
      <w:pPr>
        <w:ind w:left="2187" w:hanging="180"/>
      </w:pPr>
    </w:lvl>
    <w:lvl w:ilvl="3" w:tplc="0415000F" w:tentative="1">
      <w:start w:val="1"/>
      <w:numFmt w:val="decimal"/>
      <w:lvlText w:val="%4."/>
      <w:lvlJc w:val="left"/>
      <w:pPr>
        <w:ind w:left="2907" w:hanging="360"/>
      </w:pPr>
    </w:lvl>
    <w:lvl w:ilvl="4" w:tplc="04150019" w:tentative="1">
      <w:start w:val="1"/>
      <w:numFmt w:val="lowerLetter"/>
      <w:lvlText w:val="%5."/>
      <w:lvlJc w:val="left"/>
      <w:pPr>
        <w:ind w:left="3627" w:hanging="360"/>
      </w:pPr>
    </w:lvl>
    <w:lvl w:ilvl="5" w:tplc="0415001B" w:tentative="1">
      <w:start w:val="1"/>
      <w:numFmt w:val="lowerRoman"/>
      <w:lvlText w:val="%6."/>
      <w:lvlJc w:val="right"/>
      <w:pPr>
        <w:ind w:left="4347" w:hanging="180"/>
      </w:pPr>
    </w:lvl>
    <w:lvl w:ilvl="6" w:tplc="0415000F" w:tentative="1">
      <w:start w:val="1"/>
      <w:numFmt w:val="decimal"/>
      <w:lvlText w:val="%7."/>
      <w:lvlJc w:val="left"/>
      <w:pPr>
        <w:ind w:left="5067" w:hanging="360"/>
      </w:pPr>
    </w:lvl>
    <w:lvl w:ilvl="7" w:tplc="04150019" w:tentative="1">
      <w:start w:val="1"/>
      <w:numFmt w:val="lowerLetter"/>
      <w:lvlText w:val="%8."/>
      <w:lvlJc w:val="left"/>
      <w:pPr>
        <w:ind w:left="5787" w:hanging="360"/>
      </w:pPr>
    </w:lvl>
    <w:lvl w:ilvl="8" w:tplc="0415001B" w:tentative="1">
      <w:start w:val="1"/>
      <w:numFmt w:val="lowerRoman"/>
      <w:lvlText w:val="%9."/>
      <w:lvlJc w:val="right"/>
      <w:pPr>
        <w:ind w:left="6507" w:hanging="180"/>
      </w:pPr>
    </w:lvl>
  </w:abstractNum>
  <w:abstractNum w:abstractNumId="22" w15:restartNumberingAfterBreak="0">
    <w:nsid w:val="34637359"/>
    <w:multiLevelType w:val="hybridMultilevel"/>
    <w:tmpl w:val="E9645798"/>
    <w:lvl w:ilvl="0" w:tplc="F5B6E2D8">
      <w:start w:val="1"/>
      <w:numFmt w:val="decimal"/>
      <w:lvlText w:val="%1)"/>
      <w:lvlJc w:val="left"/>
      <w:pPr>
        <w:ind w:left="794"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113B4E"/>
    <w:multiLevelType w:val="hybridMultilevel"/>
    <w:tmpl w:val="464888F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3E283984"/>
    <w:multiLevelType w:val="hybridMultilevel"/>
    <w:tmpl w:val="78863E78"/>
    <w:lvl w:ilvl="0" w:tplc="3488CC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AA0A41"/>
    <w:multiLevelType w:val="hybridMultilevel"/>
    <w:tmpl w:val="59767210"/>
    <w:lvl w:ilvl="0" w:tplc="04150001">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26" w15:restartNumberingAfterBreak="0">
    <w:nsid w:val="45F1008A"/>
    <w:multiLevelType w:val="hybridMultilevel"/>
    <w:tmpl w:val="CBBA5AAE"/>
    <w:lvl w:ilvl="0" w:tplc="4CBC345A">
      <w:start w:val="1"/>
      <w:numFmt w:val="lowerLetter"/>
      <w:lvlText w:val="%1)"/>
      <w:lvlJc w:val="left"/>
      <w:pPr>
        <w:ind w:left="360" w:hanging="360"/>
      </w:pPr>
      <w:rPr>
        <w:b w:val="0"/>
        <w:bCs w:val="0"/>
      </w:rPr>
    </w:lvl>
    <w:lvl w:ilvl="1" w:tplc="0415001B">
      <w:start w:val="1"/>
      <w:numFmt w:val="lowerRoman"/>
      <w:lvlText w:val="%2."/>
      <w:lvlJc w:val="righ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E461E8C"/>
    <w:multiLevelType w:val="multilevel"/>
    <w:tmpl w:val="EDE05BF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530F37EB"/>
    <w:multiLevelType w:val="multilevel"/>
    <w:tmpl w:val="E6747F50"/>
    <w:lvl w:ilvl="0">
      <w:start w:val="6"/>
      <w:numFmt w:val="decimal"/>
      <w:lvlText w:val="%1"/>
      <w:lvlJc w:val="left"/>
      <w:pPr>
        <w:ind w:left="560" w:hanging="560"/>
      </w:pPr>
      <w:rPr>
        <w:rFonts w:hint="default"/>
      </w:rPr>
    </w:lvl>
    <w:lvl w:ilvl="1">
      <w:start w:val="3"/>
      <w:numFmt w:val="decimal"/>
      <w:lvlText w:val="%1.%2"/>
      <w:lvlJc w:val="left"/>
      <w:pPr>
        <w:ind w:left="560" w:hanging="5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49C2746"/>
    <w:multiLevelType w:val="hybridMultilevel"/>
    <w:tmpl w:val="84845B96"/>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6C45E70"/>
    <w:multiLevelType w:val="multilevel"/>
    <w:tmpl w:val="94560C22"/>
    <w:lvl w:ilvl="0">
      <w:start w:val="3"/>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76E67CC"/>
    <w:multiLevelType w:val="hybridMultilevel"/>
    <w:tmpl w:val="4A9A6252"/>
    <w:lvl w:ilvl="0" w:tplc="04150011">
      <w:start w:val="1"/>
      <w:numFmt w:val="decimal"/>
      <w:lvlText w:val="%1)"/>
      <w:lvlJc w:val="left"/>
      <w:pPr>
        <w:ind w:left="720" w:hanging="360"/>
      </w:pPr>
    </w:lvl>
    <w:lvl w:ilvl="1" w:tplc="C1EACFCC">
      <w:start w:val="1"/>
      <w:numFmt w:val="decimal"/>
      <w:lvlText w:val="%2)"/>
      <w:lvlJc w:val="left"/>
      <w:pPr>
        <w:ind w:left="794" w:hanging="3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9584395"/>
    <w:multiLevelType w:val="hybridMultilevel"/>
    <w:tmpl w:val="1710207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04150011">
      <w:start w:val="1"/>
      <w:numFmt w:val="decimal"/>
      <w:lvlText w:val="%4)"/>
      <w:lvlJc w:val="left"/>
      <w:pPr>
        <w:ind w:left="720"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3" w15:restartNumberingAfterBreak="0">
    <w:nsid w:val="5A4C652A"/>
    <w:multiLevelType w:val="multilevel"/>
    <w:tmpl w:val="7910E426"/>
    <w:lvl w:ilvl="0">
      <w:start w:val="4"/>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5D69470A"/>
    <w:multiLevelType w:val="multilevel"/>
    <w:tmpl w:val="30081674"/>
    <w:lvl w:ilvl="0">
      <w:start w:val="5"/>
      <w:numFmt w:val="decimal"/>
      <w:lvlText w:val="%1"/>
      <w:lvlJc w:val="left"/>
      <w:pPr>
        <w:ind w:left="400" w:hanging="400"/>
      </w:pPr>
      <w:rPr>
        <w:rFonts w:asciiTheme="minorHAnsi" w:hAnsiTheme="minorHAnsi" w:hint="default"/>
      </w:rPr>
    </w:lvl>
    <w:lvl w:ilvl="1">
      <w:start w:val="2"/>
      <w:numFmt w:val="decimal"/>
      <w:lvlText w:val="%1.%2"/>
      <w:lvlJc w:val="left"/>
      <w:pPr>
        <w:ind w:left="400" w:hanging="40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35" w15:restartNumberingAfterBreak="0">
    <w:nsid w:val="5ED976FC"/>
    <w:multiLevelType w:val="hybridMultilevel"/>
    <w:tmpl w:val="E98AD3CE"/>
    <w:lvl w:ilvl="0" w:tplc="04150017">
      <w:start w:val="1"/>
      <w:numFmt w:val="lowerLetter"/>
      <w:lvlText w:val="%1)"/>
      <w:lvlJc w:val="left"/>
      <w:pPr>
        <w:ind w:left="1068" w:hanging="360"/>
      </w:pPr>
    </w:lvl>
    <w:lvl w:ilvl="1" w:tplc="F5B6E2D8">
      <w:start w:val="1"/>
      <w:numFmt w:val="decimal"/>
      <w:lvlText w:val="%2)"/>
      <w:lvlJc w:val="left"/>
      <w:pPr>
        <w:ind w:left="794" w:hanging="340"/>
      </w:pPr>
      <w:rPr>
        <w:rFonts w:hint="default"/>
      </w:r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15:restartNumberingAfterBreak="0">
    <w:nsid w:val="615F50C3"/>
    <w:multiLevelType w:val="hybridMultilevel"/>
    <w:tmpl w:val="034E20BA"/>
    <w:lvl w:ilvl="0" w:tplc="FF168F2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628C7273"/>
    <w:multiLevelType w:val="hybridMultilevel"/>
    <w:tmpl w:val="6DD4CE58"/>
    <w:lvl w:ilvl="0" w:tplc="203AC994">
      <w:start w:val="1"/>
      <w:numFmt w:val="decimal"/>
      <w:lvlText w:val="8.%1."/>
      <w:lvlJc w:val="left"/>
      <w:pPr>
        <w:ind w:left="1440" w:hanging="360"/>
      </w:pPr>
      <w:rPr>
        <w:rFonts w:hint="default"/>
      </w:rPr>
    </w:lvl>
    <w:lvl w:ilvl="1" w:tplc="2714B1DC">
      <w:start w:val="1"/>
      <w:numFmt w:val="decimal"/>
      <w:lvlText w:val="8.%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0D4192"/>
    <w:multiLevelType w:val="hybridMultilevel"/>
    <w:tmpl w:val="D396BA5C"/>
    <w:lvl w:ilvl="0" w:tplc="FFFFFFFF">
      <w:start w:val="1"/>
      <w:numFmt w:val="lowerRoman"/>
      <w:lvlText w:val="%1."/>
      <w:lvlJc w:val="right"/>
      <w:pPr>
        <w:ind w:left="1230" w:hanging="360"/>
      </w:pPr>
    </w:lvl>
    <w:lvl w:ilvl="1" w:tplc="E0744922">
      <w:start w:val="1"/>
      <w:numFmt w:val="decimal"/>
      <w:lvlText w:val="%2)"/>
      <w:lvlJc w:val="left"/>
      <w:pPr>
        <w:ind w:left="1950" w:hanging="360"/>
      </w:pPr>
      <w:rPr>
        <w:rFonts w:hint="default"/>
      </w:rPr>
    </w:lvl>
    <w:lvl w:ilvl="2" w:tplc="FFFFFFFF">
      <w:start w:val="1"/>
      <w:numFmt w:val="lowerRoman"/>
      <w:lvlText w:val="%3."/>
      <w:lvlJc w:val="right"/>
      <w:pPr>
        <w:ind w:left="2670" w:hanging="180"/>
      </w:pPr>
    </w:lvl>
    <w:lvl w:ilvl="3" w:tplc="0415001B">
      <w:start w:val="1"/>
      <w:numFmt w:val="lowerRoman"/>
      <w:lvlText w:val="%4."/>
      <w:lvlJc w:val="right"/>
      <w:pPr>
        <w:ind w:left="1080" w:hanging="360"/>
      </w:pPr>
    </w:lvl>
    <w:lvl w:ilvl="4" w:tplc="FFFFFFFF" w:tentative="1">
      <w:start w:val="1"/>
      <w:numFmt w:val="lowerLetter"/>
      <w:lvlText w:val="%5."/>
      <w:lvlJc w:val="left"/>
      <w:pPr>
        <w:ind w:left="4110" w:hanging="360"/>
      </w:pPr>
    </w:lvl>
    <w:lvl w:ilvl="5" w:tplc="FFFFFFFF" w:tentative="1">
      <w:start w:val="1"/>
      <w:numFmt w:val="lowerRoman"/>
      <w:lvlText w:val="%6."/>
      <w:lvlJc w:val="right"/>
      <w:pPr>
        <w:ind w:left="4830" w:hanging="180"/>
      </w:pPr>
    </w:lvl>
    <w:lvl w:ilvl="6" w:tplc="FFFFFFFF" w:tentative="1">
      <w:start w:val="1"/>
      <w:numFmt w:val="decimal"/>
      <w:lvlText w:val="%7."/>
      <w:lvlJc w:val="left"/>
      <w:pPr>
        <w:ind w:left="5550" w:hanging="360"/>
      </w:pPr>
    </w:lvl>
    <w:lvl w:ilvl="7" w:tplc="FFFFFFFF" w:tentative="1">
      <w:start w:val="1"/>
      <w:numFmt w:val="lowerLetter"/>
      <w:lvlText w:val="%8."/>
      <w:lvlJc w:val="left"/>
      <w:pPr>
        <w:ind w:left="6270" w:hanging="360"/>
      </w:pPr>
    </w:lvl>
    <w:lvl w:ilvl="8" w:tplc="FFFFFFFF" w:tentative="1">
      <w:start w:val="1"/>
      <w:numFmt w:val="lowerRoman"/>
      <w:lvlText w:val="%9."/>
      <w:lvlJc w:val="right"/>
      <w:pPr>
        <w:ind w:left="6990" w:hanging="180"/>
      </w:pPr>
    </w:lvl>
  </w:abstractNum>
  <w:abstractNum w:abstractNumId="39" w15:restartNumberingAfterBreak="0">
    <w:nsid w:val="66CE37CA"/>
    <w:multiLevelType w:val="hybridMultilevel"/>
    <w:tmpl w:val="DCAA0F78"/>
    <w:lvl w:ilvl="0" w:tplc="FF168F2A">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7782C0B"/>
    <w:multiLevelType w:val="hybridMultilevel"/>
    <w:tmpl w:val="CB644458"/>
    <w:lvl w:ilvl="0" w:tplc="3656F24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1" w15:restartNumberingAfterBreak="0">
    <w:nsid w:val="6786468B"/>
    <w:multiLevelType w:val="hybridMultilevel"/>
    <w:tmpl w:val="154E9F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7A855AA"/>
    <w:multiLevelType w:val="hybridMultilevel"/>
    <w:tmpl w:val="1744EB50"/>
    <w:lvl w:ilvl="0" w:tplc="04150017">
      <w:start w:val="1"/>
      <w:numFmt w:val="lowerLetter"/>
      <w:lvlText w:val="%1)"/>
      <w:lvlJc w:val="left"/>
      <w:pPr>
        <w:ind w:left="720" w:hanging="360"/>
      </w:pPr>
    </w:lvl>
    <w:lvl w:ilvl="1" w:tplc="04150017">
      <w:start w:val="1"/>
      <w:numFmt w:val="lowerLetter"/>
      <w:lvlText w:val="%2)"/>
      <w:lvlJc w:val="left"/>
      <w:pPr>
        <w:ind w:left="360" w:hanging="360"/>
      </w:pPr>
    </w:lvl>
    <w:lvl w:ilvl="2" w:tplc="000043D4">
      <w:start w:val="1"/>
      <w:numFmt w:val="decimal"/>
      <w:lvlText w:val="%3."/>
      <w:lvlJc w:val="left"/>
      <w:pPr>
        <w:ind w:left="2340" w:hanging="360"/>
      </w:pPr>
      <w:rPr>
        <w:rFonts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81C3EF4"/>
    <w:multiLevelType w:val="hybridMultilevel"/>
    <w:tmpl w:val="C7685B68"/>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15:restartNumberingAfterBreak="0">
    <w:nsid w:val="69D90A6F"/>
    <w:multiLevelType w:val="hybridMultilevel"/>
    <w:tmpl w:val="CD3AE9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5" w15:restartNumberingAfterBreak="0">
    <w:nsid w:val="6A9820B9"/>
    <w:multiLevelType w:val="hybridMultilevel"/>
    <w:tmpl w:val="1CAC53A0"/>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5712C386">
      <w:start w:val="1"/>
      <w:numFmt w:val="bullet"/>
      <w:lvlText w:val=""/>
      <w:lvlJc w:val="left"/>
      <w:pPr>
        <w:ind w:left="927"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D192DF0"/>
    <w:multiLevelType w:val="hybridMultilevel"/>
    <w:tmpl w:val="F62C8B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FC64EED"/>
    <w:multiLevelType w:val="multilevel"/>
    <w:tmpl w:val="2604E0FE"/>
    <w:lvl w:ilvl="0">
      <w:start w:val="6"/>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0081FD0"/>
    <w:multiLevelType w:val="multilevel"/>
    <w:tmpl w:val="30081674"/>
    <w:lvl w:ilvl="0">
      <w:start w:val="5"/>
      <w:numFmt w:val="decimal"/>
      <w:lvlText w:val="%1"/>
      <w:lvlJc w:val="left"/>
      <w:pPr>
        <w:ind w:left="400" w:hanging="400"/>
      </w:pPr>
      <w:rPr>
        <w:rFonts w:asciiTheme="minorHAnsi" w:hAnsiTheme="minorHAnsi" w:hint="default"/>
      </w:rPr>
    </w:lvl>
    <w:lvl w:ilvl="1">
      <w:start w:val="2"/>
      <w:numFmt w:val="decimal"/>
      <w:lvlText w:val="%1.%2"/>
      <w:lvlJc w:val="left"/>
      <w:pPr>
        <w:ind w:left="400" w:hanging="40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49" w15:restartNumberingAfterBreak="0">
    <w:nsid w:val="7029374B"/>
    <w:multiLevelType w:val="hybridMultilevel"/>
    <w:tmpl w:val="06DEED3E"/>
    <w:lvl w:ilvl="0" w:tplc="0415001B">
      <w:start w:val="1"/>
      <w:numFmt w:val="lowerRoman"/>
      <w:lvlText w:val="%1."/>
      <w:lvlJc w:val="right"/>
      <w:pPr>
        <w:ind w:left="1797" w:hanging="360"/>
      </w:p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50" w15:restartNumberingAfterBreak="0">
    <w:nsid w:val="74774020"/>
    <w:multiLevelType w:val="hybridMultilevel"/>
    <w:tmpl w:val="4328C22A"/>
    <w:lvl w:ilvl="0" w:tplc="D486CDAE">
      <w:start w:val="1"/>
      <w:numFmt w:val="decimal"/>
      <w:lvlText w:val="4.%1."/>
      <w:lvlJc w:val="left"/>
      <w:pPr>
        <w:ind w:left="720" w:hanging="360"/>
      </w:pPr>
      <w:rPr>
        <w:rFonts w:hint="default"/>
      </w:rPr>
    </w:lvl>
    <w:lvl w:ilvl="1" w:tplc="D486CDAE">
      <w:start w:val="1"/>
      <w:numFmt w:val="decimal"/>
      <w:lvlText w:val="4.%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60F7537"/>
    <w:multiLevelType w:val="hybridMultilevel"/>
    <w:tmpl w:val="3BC0BAB2"/>
    <w:lvl w:ilvl="0" w:tplc="FF168F2A">
      <w:start w:val="1"/>
      <w:numFmt w:val="bullet"/>
      <w:lvlText w:val=""/>
      <w:lvlJc w:val="left"/>
      <w:pPr>
        <w:ind w:left="720" w:hanging="360"/>
      </w:pPr>
      <w:rPr>
        <w:rFonts w:ascii="Symbol" w:hAnsi="Symbol" w:hint="default"/>
        <w:color w:val="auto"/>
      </w:rPr>
    </w:lvl>
    <w:lvl w:ilvl="1" w:tplc="FF168F2A">
      <w:start w:val="1"/>
      <w:numFmt w:val="bullet"/>
      <w:lvlText w:val=""/>
      <w:lvlJc w:val="left"/>
      <w:pPr>
        <w:ind w:left="1440" w:hanging="360"/>
      </w:pPr>
      <w:rPr>
        <w:rFonts w:ascii="Symbol" w:hAnsi="Symbol"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73919BE"/>
    <w:multiLevelType w:val="multilevel"/>
    <w:tmpl w:val="A734F91C"/>
    <w:lvl w:ilvl="0">
      <w:start w:val="7"/>
      <w:numFmt w:val="decimal"/>
      <w:lvlText w:val="%1"/>
      <w:lvlJc w:val="left"/>
      <w:pPr>
        <w:ind w:left="560" w:hanging="560"/>
      </w:pPr>
      <w:rPr>
        <w:rFonts w:hint="default"/>
      </w:rPr>
    </w:lvl>
    <w:lvl w:ilvl="1">
      <w:start w:val="3"/>
      <w:numFmt w:val="decimal"/>
      <w:lvlText w:val="%1.%2"/>
      <w:lvlJc w:val="left"/>
      <w:pPr>
        <w:ind w:left="560" w:hanging="5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77B7081E"/>
    <w:multiLevelType w:val="hybridMultilevel"/>
    <w:tmpl w:val="4D4CE160"/>
    <w:lvl w:ilvl="0" w:tplc="E4FE6514">
      <w:start w:val="1"/>
      <w:numFmt w:val="lowerLetter"/>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7DA27DB"/>
    <w:multiLevelType w:val="hybridMultilevel"/>
    <w:tmpl w:val="FD60FE40"/>
    <w:lvl w:ilvl="0" w:tplc="963E5F6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85D696B"/>
    <w:multiLevelType w:val="hybridMultilevel"/>
    <w:tmpl w:val="DA080C88"/>
    <w:lvl w:ilvl="0" w:tplc="0415000B">
      <w:start w:val="1"/>
      <w:numFmt w:val="bullet"/>
      <w:lvlText w:val=""/>
      <w:lvlJc w:val="left"/>
      <w:pPr>
        <w:ind w:left="720" w:hanging="360"/>
      </w:pPr>
      <w:rPr>
        <w:rFonts w:ascii="Wingdings" w:hAnsi="Wingdings" w:hint="default"/>
        <w:color w:val="auto"/>
      </w:rPr>
    </w:lvl>
    <w:lvl w:ilvl="1" w:tplc="04150017">
      <w:start w:val="1"/>
      <w:numFmt w:val="lowerLetter"/>
      <w:lvlText w:val="%2)"/>
      <w:lvlJc w:val="left"/>
      <w:pPr>
        <w:ind w:left="1785" w:hanging="705"/>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D5A3111"/>
    <w:multiLevelType w:val="hybridMultilevel"/>
    <w:tmpl w:val="122EE6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F135D3B"/>
    <w:multiLevelType w:val="hybridMultilevel"/>
    <w:tmpl w:val="B83EC95E"/>
    <w:lvl w:ilvl="0" w:tplc="04150017">
      <w:start w:val="1"/>
      <w:numFmt w:val="lowerLetter"/>
      <w:lvlText w:val="%1)"/>
      <w:lvlJc w:val="left"/>
      <w:pPr>
        <w:ind w:left="720" w:hanging="360"/>
      </w:pPr>
      <w:rPr>
        <w:rFonts w:hint="default"/>
      </w:rPr>
    </w:lvl>
    <w:lvl w:ilvl="1" w:tplc="B82AA2F2">
      <w:start w:val="1"/>
      <w:numFmt w:val="lowerRoman"/>
      <w:lvlText w:val="%2."/>
      <w:lvlJc w:val="left"/>
      <w:pPr>
        <w:ind w:left="1440" w:hanging="360"/>
      </w:pPr>
      <w:rPr>
        <w:rFonts w:asciiTheme="minorHAnsi" w:eastAsiaTheme="minorHAnsi" w:hAnsi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39250232">
    <w:abstractNumId w:val="26"/>
  </w:num>
  <w:num w:numId="2" w16cid:durableId="566574039">
    <w:abstractNumId w:val="0"/>
  </w:num>
  <w:num w:numId="3" w16cid:durableId="1942494201">
    <w:abstractNumId w:val="42"/>
  </w:num>
  <w:num w:numId="4" w16cid:durableId="1513301087">
    <w:abstractNumId w:val="31"/>
  </w:num>
  <w:num w:numId="5" w16cid:durableId="1719478223">
    <w:abstractNumId w:val="35"/>
  </w:num>
  <w:num w:numId="6" w16cid:durableId="1557006760">
    <w:abstractNumId w:val="55"/>
  </w:num>
  <w:num w:numId="7" w16cid:durableId="1185510536">
    <w:abstractNumId w:val="43"/>
  </w:num>
  <w:num w:numId="8" w16cid:durableId="22950388">
    <w:abstractNumId w:val="57"/>
  </w:num>
  <w:num w:numId="9" w16cid:durableId="1954165761">
    <w:abstractNumId w:val="12"/>
  </w:num>
  <w:num w:numId="10" w16cid:durableId="374739645">
    <w:abstractNumId w:val="27"/>
  </w:num>
  <w:num w:numId="11" w16cid:durableId="30308928">
    <w:abstractNumId w:val="30"/>
  </w:num>
  <w:num w:numId="12" w16cid:durableId="1167132211">
    <w:abstractNumId w:val="39"/>
  </w:num>
  <w:num w:numId="13" w16cid:durableId="427577987">
    <w:abstractNumId w:val="20"/>
  </w:num>
  <w:num w:numId="14" w16cid:durableId="1467815552">
    <w:abstractNumId w:val="16"/>
  </w:num>
  <w:num w:numId="15" w16cid:durableId="1296451598">
    <w:abstractNumId w:val="7"/>
  </w:num>
  <w:num w:numId="16" w16cid:durableId="1965040559">
    <w:abstractNumId w:val="49"/>
  </w:num>
  <w:num w:numId="17" w16cid:durableId="221915244">
    <w:abstractNumId w:val="4"/>
  </w:num>
  <w:num w:numId="18" w16cid:durableId="1844935728">
    <w:abstractNumId w:val="36"/>
  </w:num>
  <w:num w:numId="19" w16cid:durableId="376050203">
    <w:abstractNumId w:val="51"/>
  </w:num>
  <w:num w:numId="20" w16cid:durableId="2044361181">
    <w:abstractNumId w:val="56"/>
  </w:num>
  <w:num w:numId="21" w16cid:durableId="1146355805">
    <w:abstractNumId w:val="5"/>
  </w:num>
  <w:num w:numId="22" w16cid:durableId="1897157739">
    <w:abstractNumId w:val="21"/>
  </w:num>
  <w:num w:numId="23" w16cid:durableId="1050686388">
    <w:abstractNumId w:val="46"/>
  </w:num>
  <w:num w:numId="24" w16cid:durableId="1825969575">
    <w:abstractNumId w:val="9"/>
  </w:num>
  <w:num w:numId="25" w16cid:durableId="19180526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531400">
    <w:abstractNumId w:val="47"/>
  </w:num>
  <w:num w:numId="27" w16cid:durableId="1645312152">
    <w:abstractNumId w:val="44"/>
  </w:num>
  <w:num w:numId="28" w16cid:durableId="705955978">
    <w:abstractNumId w:val="25"/>
  </w:num>
  <w:num w:numId="29" w16cid:durableId="1556426761">
    <w:abstractNumId w:val="23"/>
  </w:num>
  <w:num w:numId="30" w16cid:durableId="975379435">
    <w:abstractNumId w:val="28"/>
  </w:num>
  <w:num w:numId="31" w16cid:durableId="1160391878">
    <w:abstractNumId w:val="29"/>
  </w:num>
  <w:num w:numId="32" w16cid:durableId="1819808037">
    <w:abstractNumId w:val="50"/>
  </w:num>
  <w:num w:numId="33" w16cid:durableId="1253860380">
    <w:abstractNumId w:val="37"/>
  </w:num>
  <w:num w:numId="34" w16cid:durableId="1788425216">
    <w:abstractNumId w:val="32"/>
  </w:num>
  <w:num w:numId="35" w16cid:durableId="1120614551">
    <w:abstractNumId w:val="41"/>
  </w:num>
  <w:num w:numId="36" w16cid:durableId="1391689451">
    <w:abstractNumId w:val="40"/>
  </w:num>
  <w:num w:numId="37" w16cid:durableId="1533805241">
    <w:abstractNumId w:val="54"/>
  </w:num>
  <w:num w:numId="38" w16cid:durableId="1383679410">
    <w:abstractNumId w:val="6"/>
  </w:num>
  <w:num w:numId="39" w16cid:durableId="868759368">
    <w:abstractNumId w:val="34"/>
  </w:num>
  <w:num w:numId="40" w16cid:durableId="271785281">
    <w:abstractNumId w:val="33"/>
  </w:num>
  <w:num w:numId="41" w16cid:durableId="892154554">
    <w:abstractNumId w:val="18"/>
  </w:num>
  <w:num w:numId="42" w16cid:durableId="302007981">
    <w:abstractNumId w:val="45"/>
  </w:num>
  <w:num w:numId="43" w16cid:durableId="830606878">
    <w:abstractNumId w:val="52"/>
  </w:num>
  <w:num w:numId="44" w16cid:durableId="1344280388">
    <w:abstractNumId w:val="17"/>
  </w:num>
  <w:num w:numId="45" w16cid:durableId="61030691">
    <w:abstractNumId w:val="24"/>
  </w:num>
  <w:num w:numId="46" w16cid:durableId="1983922870">
    <w:abstractNumId w:val="15"/>
  </w:num>
  <w:num w:numId="47" w16cid:durableId="1848250481">
    <w:abstractNumId w:val="11"/>
  </w:num>
  <w:num w:numId="48" w16cid:durableId="509609362">
    <w:abstractNumId w:val="14"/>
  </w:num>
  <w:num w:numId="49" w16cid:durableId="1862012749">
    <w:abstractNumId w:val="19"/>
  </w:num>
  <w:num w:numId="50" w16cid:durableId="750468903">
    <w:abstractNumId w:val="22"/>
  </w:num>
  <w:num w:numId="51" w16cid:durableId="243223789">
    <w:abstractNumId w:val="1"/>
  </w:num>
  <w:num w:numId="52" w16cid:durableId="39013284">
    <w:abstractNumId w:val="2"/>
  </w:num>
  <w:num w:numId="53" w16cid:durableId="208344959">
    <w:abstractNumId w:val="48"/>
  </w:num>
  <w:num w:numId="54" w16cid:durableId="1044211844">
    <w:abstractNumId w:val="10"/>
  </w:num>
  <w:num w:numId="55" w16cid:durableId="927078452">
    <w:abstractNumId w:val="53"/>
  </w:num>
  <w:num w:numId="56" w16cid:durableId="850073516">
    <w:abstractNumId w:val="3"/>
  </w:num>
  <w:num w:numId="57" w16cid:durableId="2037844622">
    <w:abstractNumId w:val="8"/>
  </w:num>
  <w:num w:numId="58" w16cid:durableId="1199899011">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B26"/>
    <w:rsid w:val="00000B44"/>
    <w:rsid w:val="00002226"/>
    <w:rsid w:val="0000283A"/>
    <w:rsid w:val="00003A56"/>
    <w:rsid w:val="00004A7D"/>
    <w:rsid w:val="00004AB6"/>
    <w:rsid w:val="00004EE1"/>
    <w:rsid w:val="00005CDD"/>
    <w:rsid w:val="00006342"/>
    <w:rsid w:val="00006A12"/>
    <w:rsid w:val="0000740E"/>
    <w:rsid w:val="00007A05"/>
    <w:rsid w:val="00007D88"/>
    <w:rsid w:val="00011D27"/>
    <w:rsid w:val="00011E93"/>
    <w:rsid w:val="00012043"/>
    <w:rsid w:val="000125D8"/>
    <w:rsid w:val="000128E6"/>
    <w:rsid w:val="00013409"/>
    <w:rsid w:val="00013531"/>
    <w:rsid w:val="00013C9A"/>
    <w:rsid w:val="0001449E"/>
    <w:rsid w:val="00014FBB"/>
    <w:rsid w:val="000153E2"/>
    <w:rsid w:val="0001541F"/>
    <w:rsid w:val="00016109"/>
    <w:rsid w:val="0001616D"/>
    <w:rsid w:val="000168B9"/>
    <w:rsid w:val="00016EB3"/>
    <w:rsid w:val="000176B4"/>
    <w:rsid w:val="00017A79"/>
    <w:rsid w:val="00017B41"/>
    <w:rsid w:val="00017C96"/>
    <w:rsid w:val="00017EF3"/>
    <w:rsid w:val="000209BD"/>
    <w:rsid w:val="00021CE9"/>
    <w:rsid w:val="000224C5"/>
    <w:rsid w:val="000227B9"/>
    <w:rsid w:val="00022B75"/>
    <w:rsid w:val="0002315B"/>
    <w:rsid w:val="00023731"/>
    <w:rsid w:val="000252D4"/>
    <w:rsid w:val="00025764"/>
    <w:rsid w:val="00026071"/>
    <w:rsid w:val="00026540"/>
    <w:rsid w:val="00026BC5"/>
    <w:rsid w:val="00027921"/>
    <w:rsid w:val="00027A90"/>
    <w:rsid w:val="00027C20"/>
    <w:rsid w:val="00030E82"/>
    <w:rsid w:val="00031061"/>
    <w:rsid w:val="000316E4"/>
    <w:rsid w:val="000318FA"/>
    <w:rsid w:val="000322D6"/>
    <w:rsid w:val="00032850"/>
    <w:rsid w:val="00032B0E"/>
    <w:rsid w:val="00034A17"/>
    <w:rsid w:val="00035A3B"/>
    <w:rsid w:val="00036CBC"/>
    <w:rsid w:val="00037082"/>
    <w:rsid w:val="0003738B"/>
    <w:rsid w:val="00037464"/>
    <w:rsid w:val="00037B61"/>
    <w:rsid w:val="00040CCD"/>
    <w:rsid w:val="00041350"/>
    <w:rsid w:val="00041A9B"/>
    <w:rsid w:val="000424AA"/>
    <w:rsid w:val="00042DE7"/>
    <w:rsid w:val="00043A06"/>
    <w:rsid w:val="00043D62"/>
    <w:rsid w:val="000441A3"/>
    <w:rsid w:val="00044244"/>
    <w:rsid w:val="00044601"/>
    <w:rsid w:val="000447CC"/>
    <w:rsid w:val="00045B04"/>
    <w:rsid w:val="00045E58"/>
    <w:rsid w:val="000462D4"/>
    <w:rsid w:val="00046607"/>
    <w:rsid w:val="00046B26"/>
    <w:rsid w:val="00047C0E"/>
    <w:rsid w:val="00047D8D"/>
    <w:rsid w:val="00050728"/>
    <w:rsid w:val="00050C47"/>
    <w:rsid w:val="00050F26"/>
    <w:rsid w:val="000515B6"/>
    <w:rsid w:val="00051664"/>
    <w:rsid w:val="0005271F"/>
    <w:rsid w:val="0005323F"/>
    <w:rsid w:val="000535D9"/>
    <w:rsid w:val="000539DF"/>
    <w:rsid w:val="00053C04"/>
    <w:rsid w:val="000540BE"/>
    <w:rsid w:val="0005418C"/>
    <w:rsid w:val="00054503"/>
    <w:rsid w:val="00054FAF"/>
    <w:rsid w:val="000564A8"/>
    <w:rsid w:val="00056FE5"/>
    <w:rsid w:val="0005795F"/>
    <w:rsid w:val="00057A95"/>
    <w:rsid w:val="000601E6"/>
    <w:rsid w:val="0006093B"/>
    <w:rsid w:val="0006189C"/>
    <w:rsid w:val="00061C53"/>
    <w:rsid w:val="00062270"/>
    <w:rsid w:val="00062538"/>
    <w:rsid w:val="00062551"/>
    <w:rsid w:val="00062F30"/>
    <w:rsid w:val="00063940"/>
    <w:rsid w:val="00063AF1"/>
    <w:rsid w:val="00064B7C"/>
    <w:rsid w:val="000652CE"/>
    <w:rsid w:val="00066E2B"/>
    <w:rsid w:val="00066ED2"/>
    <w:rsid w:val="0006754E"/>
    <w:rsid w:val="00067716"/>
    <w:rsid w:val="000678C8"/>
    <w:rsid w:val="00067BA5"/>
    <w:rsid w:val="0007028F"/>
    <w:rsid w:val="000703EB"/>
    <w:rsid w:val="000710DE"/>
    <w:rsid w:val="0007145D"/>
    <w:rsid w:val="00071C47"/>
    <w:rsid w:val="00072A5D"/>
    <w:rsid w:val="000730DD"/>
    <w:rsid w:val="00073720"/>
    <w:rsid w:val="00074E97"/>
    <w:rsid w:val="00074F9A"/>
    <w:rsid w:val="0007539B"/>
    <w:rsid w:val="00075525"/>
    <w:rsid w:val="00075A3F"/>
    <w:rsid w:val="00075BF6"/>
    <w:rsid w:val="00075D67"/>
    <w:rsid w:val="00076553"/>
    <w:rsid w:val="0007704A"/>
    <w:rsid w:val="00077D65"/>
    <w:rsid w:val="000801BF"/>
    <w:rsid w:val="00080FBF"/>
    <w:rsid w:val="000814E5"/>
    <w:rsid w:val="00081853"/>
    <w:rsid w:val="00083695"/>
    <w:rsid w:val="0008390A"/>
    <w:rsid w:val="00083A9C"/>
    <w:rsid w:val="0008460B"/>
    <w:rsid w:val="00084B3C"/>
    <w:rsid w:val="00084B78"/>
    <w:rsid w:val="00084C5D"/>
    <w:rsid w:val="00086902"/>
    <w:rsid w:val="00086993"/>
    <w:rsid w:val="00086E49"/>
    <w:rsid w:val="000870B8"/>
    <w:rsid w:val="000872EB"/>
    <w:rsid w:val="000875B2"/>
    <w:rsid w:val="00087835"/>
    <w:rsid w:val="00090848"/>
    <w:rsid w:val="00091230"/>
    <w:rsid w:val="00091243"/>
    <w:rsid w:val="00091286"/>
    <w:rsid w:val="000914DD"/>
    <w:rsid w:val="00091709"/>
    <w:rsid w:val="00091F43"/>
    <w:rsid w:val="0009204A"/>
    <w:rsid w:val="000932F6"/>
    <w:rsid w:val="00093AAD"/>
    <w:rsid w:val="00093B29"/>
    <w:rsid w:val="00093F76"/>
    <w:rsid w:val="00094562"/>
    <w:rsid w:val="0009503C"/>
    <w:rsid w:val="000951BC"/>
    <w:rsid w:val="00095753"/>
    <w:rsid w:val="00095981"/>
    <w:rsid w:val="0009626F"/>
    <w:rsid w:val="00097E47"/>
    <w:rsid w:val="000A0431"/>
    <w:rsid w:val="000A0512"/>
    <w:rsid w:val="000A0BA2"/>
    <w:rsid w:val="000A1A14"/>
    <w:rsid w:val="000A24A6"/>
    <w:rsid w:val="000A2F35"/>
    <w:rsid w:val="000A41D7"/>
    <w:rsid w:val="000A429C"/>
    <w:rsid w:val="000A4332"/>
    <w:rsid w:val="000A4490"/>
    <w:rsid w:val="000A454C"/>
    <w:rsid w:val="000A4FD2"/>
    <w:rsid w:val="000A572B"/>
    <w:rsid w:val="000A5D4E"/>
    <w:rsid w:val="000A5FA8"/>
    <w:rsid w:val="000A61C9"/>
    <w:rsid w:val="000A6D84"/>
    <w:rsid w:val="000A707E"/>
    <w:rsid w:val="000A7189"/>
    <w:rsid w:val="000B006B"/>
    <w:rsid w:val="000B009C"/>
    <w:rsid w:val="000B0829"/>
    <w:rsid w:val="000B0DF5"/>
    <w:rsid w:val="000B0FE6"/>
    <w:rsid w:val="000B17FE"/>
    <w:rsid w:val="000B1C6B"/>
    <w:rsid w:val="000B2C71"/>
    <w:rsid w:val="000B3102"/>
    <w:rsid w:val="000B317E"/>
    <w:rsid w:val="000B3282"/>
    <w:rsid w:val="000B4A74"/>
    <w:rsid w:val="000B5326"/>
    <w:rsid w:val="000B5F1F"/>
    <w:rsid w:val="000B5F67"/>
    <w:rsid w:val="000B7319"/>
    <w:rsid w:val="000B78E3"/>
    <w:rsid w:val="000B7B86"/>
    <w:rsid w:val="000B7BD2"/>
    <w:rsid w:val="000B7DF1"/>
    <w:rsid w:val="000C178D"/>
    <w:rsid w:val="000C1AF0"/>
    <w:rsid w:val="000C1B10"/>
    <w:rsid w:val="000C2802"/>
    <w:rsid w:val="000C2E4C"/>
    <w:rsid w:val="000C30F4"/>
    <w:rsid w:val="000C3373"/>
    <w:rsid w:val="000C3496"/>
    <w:rsid w:val="000C44BB"/>
    <w:rsid w:val="000C4B65"/>
    <w:rsid w:val="000C512A"/>
    <w:rsid w:val="000C5A40"/>
    <w:rsid w:val="000C5D38"/>
    <w:rsid w:val="000C6095"/>
    <w:rsid w:val="000C66C2"/>
    <w:rsid w:val="000C6A01"/>
    <w:rsid w:val="000C6C59"/>
    <w:rsid w:val="000C767D"/>
    <w:rsid w:val="000C7771"/>
    <w:rsid w:val="000D0BD6"/>
    <w:rsid w:val="000D193B"/>
    <w:rsid w:val="000D23FD"/>
    <w:rsid w:val="000D2645"/>
    <w:rsid w:val="000D26FE"/>
    <w:rsid w:val="000D2EE7"/>
    <w:rsid w:val="000D2F01"/>
    <w:rsid w:val="000D3B88"/>
    <w:rsid w:val="000D3DCF"/>
    <w:rsid w:val="000D3F4E"/>
    <w:rsid w:val="000D4335"/>
    <w:rsid w:val="000D4413"/>
    <w:rsid w:val="000D54E2"/>
    <w:rsid w:val="000D55C7"/>
    <w:rsid w:val="000D5967"/>
    <w:rsid w:val="000D59F0"/>
    <w:rsid w:val="000D654C"/>
    <w:rsid w:val="000D79B4"/>
    <w:rsid w:val="000E0188"/>
    <w:rsid w:val="000E05F4"/>
    <w:rsid w:val="000E0F2D"/>
    <w:rsid w:val="000E11E5"/>
    <w:rsid w:val="000E132E"/>
    <w:rsid w:val="000E2065"/>
    <w:rsid w:val="000E22FE"/>
    <w:rsid w:val="000E28A1"/>
    <w:rsid w:val="000E31EA"/>
    <w:rsid w:val="000E41BD"/>
    <w:rsid w:val="000E537E"/>
    <w:rsid w:val="000E568B"/>
    <w:rsid w:val="000E5E85"/>
    <w:rsid w:val="000E5F36"/>
    <w:rsid w:val="000E5FF8"/>
    <w:rsid w:val="000E6F3F"/>
    <w:rsid w:val="000E71CC"/>
    <w:rsid w:val="000E7492"/>
    <w:rsid w:val="000E7A52"/>
    <w:rsid w:val="000E7D76"/>
    <w:rsid w:val="000E7E9C"/>
    <w:rsid w:val="000F00FD"/>
    <w:rsid w:val="000F0BE8"/>
    <w:rsid w:val="000F1286"/>
    <w:rsid w:val="000F1810"/>
    <w:rsid w:val="000F1863"/>
    <w:rsid w:val="000F2AFA"/>
    <w:rsid w:val="000F319B"/>
    <w:rsid w:val="000F49C5"/>
    <w:rsid w:val="000F54FE"/>
    <w:rsid w:val="000F5675"/>
    <w:rsid w:val="000F5AC0"/>
    <w:rsid w:val="000F617A"/>
    <w:rsid w:val="001003DF"/>
    <w:rsid w:val="001008D5"/>
    <w:rsid w:val="00100C06"/>
    <w:rsid w:val="00100D51"/>
    <w:rsid w:val="001015F5"/>
    <w:rsid w:val="00101998"/>
    <w:rsid w:val="001020BB"/>
    <w:rsid w:val="0010269C"/>
    <w:rsid w:val="00103C6B"/>
    <w:rsid w:val="00103DFC"/>
    <w:rsid w:val="00107806"/>
    <w:rsid w:val="001078B1"/>
    <w:rsid w:val="00107904"/>
    <w:rsid w:val="00107F9E"/>
    <w:rsid w:val="001102BB"/>
    <w:rsid w:val="00110755"/>
    <w:rsid w:val="00110C80"/>
    <w:rsid w:val="00111204"/>
    <w:rsid w:val="00111478"/>
    <w:rsid w:val="00112BCC"/>
    <w:rsid w:val="00112DD7"/>
    <w:rsid w:val="0011310F"/>
    <w:rsid w:val="0011370B"/>
    <w:rsid w:val="00113945"/>
    <w:rsid w:val="001143AD"/>
    <w:rsid w:val="00114A7C"/>
    <w:rsid w:val="00114B62"/>
    <w:rsid w:val="00114E7E"/>
    <w:rsid w:val="00116254"/>
    <w:rsid w:val="001167F7"/>
    <w:rsid w:val="00117509"/>
    <w:rsid w:val="001207CB"/>
    <w:rsid w:val="00120F14"/>
    <w:rsid w:val="00121646"/>
    <w:rsid w:val="00121B80"/>
    <w:rsid w:val="00121B8C"/>
    <w:rsid w:val="00122247"/>
    <w:rsid w:val="0012269D"/>
    <w:rsid w:val="001235E1"/>
    <w:rsid w:val="00125D2F"/>
    <w:rsid w:val="00126073"/>
    <w:rsid w:val="00126976"/>
    <w:rsid w:val="00126AF7"/>
    <w:rsid w:val="0012780A"/>
    <w:rsid w:val="00127CDC"/>
    <w:rsid w:val="00130F9D"/>
    <w:rsid w:val="00131465"/>
    <w:rsid w:val="0013195D"/>
    <w:rsid w:val="00131B84"/>
    <w:rsid w:val="00132D80"/>
    <w:rsid w:val="00132DDD"/>
    <w:rsid w:val="00133D14"/>
    <w:rsid w:val="001352C8"/>
    <w:rsid w:val="001357F3"/>
    <w:rsid w:val="00135EA3"/>
    <w:rsid w:val="001378E4"/>
    <w:rsid w:val="001408E0"/>
    <w:rsid w:val="001409B8"/>
    <w:rsid w:val="00140B4F"/>
    <w:rsid w:val="001413DB"/>
    <w:rsid w:val="00141420"/>
    <w:rsid w:val="0014152D"/>
    <w:rsid w:val="0014165E"/>
    <w:rsid w:val="00141B5C"/>
    <w:rsid w:val="00141E47"/>
    <w:rsid w:val="0014206D"/>
    <w:rsid w:val="00142172"/>
    <w:rsid w:val="00143570"/>
    <w:rsid w:val="0014367D"/>
    <w:rsid w:val="00143BCC"/>
    <w:rsid w:val="00143D2F"/>
    <w:rsid w:val="00144039"/>
    <w:rsid w:val="00144301"/>
    <w:rsid w:val="00145089"/>
    <w:rsid w:val="001469C5"/>
    <w:rsid w:val="00147093"/>
    <w:rsid w:val="001474BE"/>
    <w:rsid w:val="00147C2C"/>
    <w:rsid w:val="00147FB5"/>
    <w:rsid w:val="00150720"/>
    <w:rsid w:val="00150DDF"/>
    <w:rsid w:val="001510E6"/>
    <w:rsid w:val="0015116D"/>
    <w:rsid w:val="00151815"/>
    <w:rsid w:val="00151AC4"/>
    <w:rsid w:val="00153590"/>
    <w:rsid w:val="001536FF"/>
    <w:rsid w:val="00154256"/>
    <w:rsid w:val="001554D2"/>
    <w:rsid w:val="00155CD5"/>
    <w:rsid w:val="00156927"/>
    <w:rsid w:val="00157600"/>
    <w:rsid w:val="001577DB"/>
    <w:rsid w:val="00157CB1"/>
    <w:rsid w:val="00157ECB"/>
    <w:rsid w:val="00160D57"/>
    <w:rsid w:val="001616EC"/>
    <w:rsid w:val="00161B6E"/>
    <w:rsid w:val="00162ABB"/>
    <w:rsid w:val="00162B12"/>
    <w:rsid w:val="0016400A"/>
    <w:rsid w:val="001640F2"/>
    <w:rsid w:val="001642BC"/>
    <w:rsid w:val="001647A7"/>
    <w:rsid w:val="00164977"/>
    <w:rsid w:val="00164B56"/>
    <w:rsid w:val="00164FC1"/>
    <w:rsid w:val="00165636"/>
    <w:rsid w:val="00165770"/>
    <w:rsid w:val="00165942"/>
    <w:rsid w:val="001659A6"/>
    <w:rsid w:val="00165E4B"/>
    <w:rsid w:val="001660D4"/>
    <w:rsid w:val="0016644D"/>
    <w:rsid w:val="00166552"/>
    <w:rsid w:val="001665EB"/>
    <w:rsid w:val="00166718"/>
    <w:rsid w:val="001672B8"/>
    <w:rsid w:val="00167516"/>
    <w:rsid w:val="0016765E"/>
    <w:rsid w:val="00170527"/>
    <w:rsid w:val="00170D24"/>
    <w:rsid w:val="00172CD7"/>
    <w:rsid w:val="001731BC"/>
    <w:rsid w:val="0017327D"/>
    <w:rsid w:val="001732B4"/>
    <w:rsid w:val="00173C2D"/>
    <w:rsid w:val="00173F40"/>
    <w:rsid w:val="001742A7"/>
    <w:rsid w:val="0017450C"/>
    <w:rsid w:val="001746B4"/>
    <w:rsid w:val="00175B04"/>
    <w:rsid w:val="00176464"/>
    <w:rsid w:val="00176553"/>
    <w:rsid w:val="00176A5A"/>
    <w:rsid w:val="00176BDD"/>
    <w:rsid w:val="0017703B"/>
    <w:rsid w:val="00177D13"/>
    <w:rsid w:val="00177E68"/>
    <w:rsid w:val="00180847"/>
    <w:rsid w:val="001808F1"/>
    <w:rsid w:val="0018175D"/>
    <w:rsid w:val="0018178C"/>
    <w:rsid w:val="0018193A"/>
    <w:rsid w:val="0018262B"/>
    <w:rsid w:val="001842B2"/>
    <w:rsid w:val="001844F8"/>
    <w:rsid w:val="00184BC5"/>
    <w:rsid w:val="00184D32"/>
    <w:rsid w:val="00185342"/>
    <w:rsid w:val="00185497"/>
    <w:rsid w:val="00185BAE"/>
    <w:rsid w:val="00185D7C"/>
    <w:rsid w:val="00185E50"/>
    <w:rsid w:val="001863B4"/>
    <w:rsid w:val="001864C3"/>
    <w:rsid w:val="00186EDB"/>
    <w:rsid w:val="00187571"/>
    <w:rsid w:val="001900BC"/>
    <w:rsid w:val="00190413"/>
    <w:rsid w:val="0019111C"/>
    <w:rsid w:val="00191F5A"/>
    <w:rsid w:val="001920EB"/>
    <w:rsid w:val="001922A8"/>
    <w:rsid w:val="00192902"/>
    <w:rsid w:val="00192C6B"/>
    <w:rsid w:val="00193351"/>
    <w:rsid w:val="00193F17"/>
    <w:rsid w:val="001940A2"/>
    <w:rsid w:val="00194A13"/>
    <w:rsid w:val="00195089"/>
    <w:rsid w:val="0019534B"/>
    <w:rsid w:val="0019541A"/>
    <w:rsid w:val="00195C37"/>
    <w:rsid w:val="001963B6"/>
    <w:rsid w:val="00196704"/>
    <w:rsid w:val="001967FA"/>
    <w:rsid w:val="001978F7"/>
    <w:rsid w:val="001A0022"/>
    <w:rsid w:val="001A03B6"/>
    <w:rsid w:val="001A089C"/>
    <w:rsid w:val="001A112A"/>
    <w:rsid w:val="001A1293"/>
    <w:rsid w:val="001A12B6"/>
    <w:rsid w:val="001A162A"/>
    <w:rsid w:val="001A177D"/>
    <w:rsid w:val="001A1BFB"/>
    <w:rsid w:val="001A3172"/>
    <w:rsid w:val="001A352E"/>
    <w:rsid w:val="001A3D25"/>
    <w:rsid w:val="001A482C"/>
    <w:rsid w:val="001A4FBA"/>
    <w:rsid w:val="001A5525"/>
    <w:rsid w:val="001A5620"/>
    <w:rsid w:val="001A576B"/>
    <w:rsid w:val="001A5878"/>
    <w:rsid w:val="001A5A7C"/>
    <w:rsid w:val="001A6239"/>
    <w:rsid w:val="001A6F33"/>
    <w:rsid w:val="001A70DA"/>
    <w:rsid w:val="001A771F"/>
    <w:rsid w:val="001A783E"/>
    <w:rsid w:val="001A7E8F"/>
    <w:rsid w:val="001B054B"/>
    <w:rsid w:val="001B0845"/>
    <w:rsid w:val="001B0F8C"/>
    <w:rsid w:val="001B1C00"/>
    <w:rsid w:val="001B1D67"/>
    <w:rsid w:val="001B262E"/>
    <w:rsid w:val="001B3E99"/>
    <w:rsid w:val="001B4292"/>
    <w:rsid w:val="001B457E"/>
    <w:rsid w:val="001B48D8"/>
    <w:rsid w:val="001B5061"/>
    <w:rsid w:val="001B57D8"/>
    <w:rsid w:val="001B5D50"/>
    <w:rsid w:val="001B5EDE"/>
    <w:rsid w:val="001B6662"/>
    <w:rsid w:val="001B733C"/>
    <w:rsid w:val="001B745C"/>
    <w:rsid w:val="001C0538"/>
    <w:rsid w:val="001C1E5F"/>
    <w:rsid w:val="001C27D0"/>
    <w:rsid w:val="001C43B5"/>
    <w:rsid w:val="001C47C7"/>
    <w:rsid w:val="001C4CF6"/>
    <w:rsid w:val="001C54D2"/>
    <w:rsid w:val="001C589C"/>
    <w:rsid w:val="001C626F"/>
    <w:rsid w:val="001C65E4"/>
    <w:rsid w:val="001C66F0"/>
    <w:rsid w:val="001C6AA8"/>
    <w:rsid w:val="001D064A"/>
    <w:rsid w:val="001D0A7A"/>
    <w:rsid w:val="001D184C"/>
    <w:rsid w:val="001D1AE3"/>
    <w:rsid w:val="001D1B43"/>
    <w:rsid w:val="001D29D4"/>
    <w:rsid w:val="001D339D"/>
    <w:rsid w:val="001D3498"/>
    <w:rsid w:val="001D3E4D"/>
    <w:rsid w:val="001D460A"/>
    <w:rsid w:val="001D5C15"/>
    <w:rsid w:val="001D5E27"/>
    <w:rsid w:val="001D5F24"/>
    <w:rsid w:val="001D63AB"/>
    <w:rsid w:val="001D6816"/>
    <w:rsid w:val="001D6D6D"/>
    <w:rsid w:val="001D74C5"/>
    <w:rsid w:val="001D761D"/>
    <w:rsid w:val="001D7D60"/>
    <w:rsid w:val="001E0095"/>
    <w:rsid w:val="001E0955"/>
    <w:rsid w:val="001E0D23"/>
    <w:rsid w:val="001E1059"/>
    <w:rsid w:val="001E13F3"/>
    <w:rsid w:val="001E17A6"/>
    <w:rsid w:val="001E1800"/>
    <w:rsid w:val="001E1E30"/>
    <w:rsid w:val="001E27B4"/>
    <w:rsid w:val="001E347A"/>
    <w:rsid w:val="001E34E4"/>
    <w:rsid w:val="001E37A3"/>
    <w:rsid w:val="001E3C0B"/>
    <w:rsid w:val="001E3E8F"/>
    <w:rsid w:val="001E3F06"/>
    <w:rsid w:val="001E41BA"/>
    <w:rsid w:val="001E45E2"/>
    <w:rsid w:val="001E4BDB"/>
    <w:rsid w:val="001E4F35"/>
    <w:rsid w:val="001E5752"/>
    <w:rsid w:val="001E58D6"/>
    <w:rsid w:val="001E68E7"/>
    <w:rsid w:val="001E7767"/>
    <w:rsid w:val="001F0C86"/>
    <w:rsid w:val="001F1382"/>
    <w:rsid w:val="001F1690"/>
    <w:rsid w:val="001F17A7"/>
    <w:rsid w:val="001F19B7"/>
    <w:rsid w:val="001F25E4"/>
    <w:rsid w:val="001F2A8A"/>
    <w:rsid w:val="001F3118"/>
    <w:rsid w:val="001F32A4"/>
    <w:rsid w:val="001F400D"/>
    <w:rsid w:val="001F5926"/>
    <w:rsid w:val="001F5A42"/>
    <w:rsid w:val="001F5E72"/>
    <w:rsid w:val="001F6035"/>
    <w:rsid w:val="001F6C23"/>
    <w:rsid w:val="001F6DC2"/>
    <w:rsid w:val="001F721C"/>
    <w:rsid w:val="001F7358"/>
    <w:rsid w:val="001F7545"/>
    <w:rsid w:val="001F7549"/>
    <w:rsid w:val="001F7C05"/>
    <w:rsid w:val="001F7E1B"/>
    <w:rsid w:val="00200142"/>
    <w:rsid w:val="0020064C"/>
    <w:rsid w:val="002006BB"/>
    <w:rsid w:val="002014C5"/>
    <w:rsid w:val="0020260B"/>
    <w:rsid w:val="00202C42"/>
    <w:rsid w:val="002031D9"/>
    <w:rsid w:val="002034C4"/>
    <w:rsid w:val="002035C7"/>
    <w:rsid w:val="002037A6"/>
    <w:rsid w:val="00203901"/>
    <w:rsid w:val="00203974"/>
    <w:rsid w:val="0020447B"/>
    <w:rsid w:val="0020504A"/>
    <w:rsid w:val="002053A6"/>
    <w:rsid w:val="0020625D"/>
    <w:rsid w:val="00206339"/>
    <w:rsid w:val="00210988"/>
    <w:rsid w:val="00210B44"/>
    <w:rsid w:val="002115AB"/>
    <w:rsid w:val="00211603"/>
    <w:rsid w:val="00211881"/>
    <w:rsid w:val="00211A70"/>
    <w:rsid w:val="002122A5"/>
    <w:rsid w:val="0021245F"/>
    <w:rsid w:val="00212CDF"/>
    <w:rsid w:val="00212FBB"/>
    <w:rsid w:val="00213ADD"/>
    <w:rsid w:val="00213F12"/>
    <w:rsid w:val="002140B2"/>
    <w:rsid w:val="002149DB"/>
    <w:rsid w:val="00214EB1"/>
    <w:rsid w:val="00215311"/>
    <w:rsid w:val="00215607"/>
    <w:rsid w:val="00215C6B"/>
    <w:rsid w:val="00215CD4"/>
    <w:rsid w:val="00216F02"/>
    <w:rsid w:val="00217439"/>
    <w:rsid w:val="0021770C"/>
    <w:rsid w:val="00217DCC"/>
    <w:rsid w:val="00217E52"/>
    <w:rsid w:val="00220E46"/>
    <w:rsid w:val="00221D5C"/>
    <w:rsid w:val="002228EE"/>
    <w:rsid w:val="002238A4"/>
    <w:rsid w:val="00223C68"/>
    <w:rsid w:val="002242EB"/>
    <w:rsid w:val="0022519B"/>
    <w:rsid w:val="00225308"/>
    <w:rsid w:val="00225477"/>
    <w:rsid w:val="002254C4"/>
    <w:rsid w:val="00225FE2"/>
    <w:rsid w:val="00226C5C"/>
    <w:rsid w:val="0022781A"/>
    <w:rsid w:val="002279BF"/>
    <w:rsid w:val="00227BB1"/>
    <w:rsid w:val="0023001A"/>
    <w:rsid w:val="0023028B"/>
    <w:rsid w:val="00230C96"/>
    <w:rsid w:val="00232BB0"/>
    <w:rsid w:val="00232C27"/>
    <w:rsid w:val="00234E68"/>
    <w:rsid w:val="00235489"/>
    <w:rsid w:val="0023584A"/>
    <w:rsid w:val="002358F0"/>
    <w:rsid w:val="00235F9E"/>
    <w:rsid w:val="0023693B"/>
    <w:rsid w:val="00236A48"/>
    <w:rsid w:val="00236B23"/>
    <w:rsid w:val="00236BD6"/>
    <w:rsid w:val="00236C2B"/>
    <w:rsid w:val="00236D19"/>
    <w:rsid w:val="00237096"/>
    <w:rsid w:val="00237426"/>
    <w:rsid w:val="002376CC"/>
    <w:rsid w:val="00240391"/>
    <w:rsid w:val="00240CE8"/>
    <w:rsid w:val="00241404"/>
    <w:rsid w:val="00241AAE"/>
    <w:rsid w:val="00241B63"/>
    <w:rsid w:val="002422C9"/>
    <w:rsid w:val="002438B0"/>
    <w:rsid w:val="00244FDC"/>
    <w:rsid w:val="0024533B"/>
    <w:rsid w:val="00246491"/>
    <w:rsid w:val="002465D4"/>
    <w:rsid w:val="002471E1"/>
    <w:rsid w:val="0024789A"/>
    <w:rsid w:val="00247BD1"/>
    <w:rsid w:val="00247FB7"/>
    <w:rsid w:val="002501B4"/>
    <w:rsid w:val="00250525"/>
    <w:rsid w:val="00251233"/>
    <w:rsid w:val="00251477"/>
    <w:rsid w:val="002515D9"/>
    <w:rsid w:val="0025206E"/>
    <w:rsid w:val="002532D7"/>
    <w:rsid w:val="002533CD"/>
    <w:rsid w:val="00253DAF"/>
    <w:rsid w:val="00253E59"/>
    <w:rsid w:val="00254107"/>
    <w:rsid w:val="002548AB"/>
    <w:rsid w:val="002549CE"/>
    <w:rsid w:val="002550C9"/>
    <w:rsid w:val="00255CDA"/>
    <w:rsid w:val="002564F2"/>
    <w:rsid w:val="00256665"/>
    <w:rsid w:val="00257336"/>
    <w:rsid w:val="00257446"/>
    <w:rsid w:val="00260232"/>
    <w:rsid w:val="0026064F"/>
    <w:rsid w:val="00260FBD"/>
    <w:rsid w:val="00261160"/>
    <w:rsid w:val="002615CD"/>
    <w:rsid w:val="00262389"/>
    <w:rsid w:val="0026402C"/>
    <w:rsid w:val="00264377"/>
    <w:rsid w:val="002647BC"/>
    <w:rsid w:val="00265434"/>
    <w:rsid w:val="002656FE"/>
    <w:rsid w:val="002659D5"/>
    <w:rsid w:val="00265A1F"/>
    <w:rsid w:val="00265E32"/>
    <w:rsid w:val="002663F5"/>
    <w:rsid w:val="00266F9F"/>
    <w:rsid w:val="00267B09"/>
    <w:rsid w:val="00270098"/>
    <w:rsid w:val="002719A0"/>
    <w:rsid w:val="00271AE9"/>
    <w:rsid w:val="00271C91"/>
    <w:rsid w:val="00272114"/>
    <w:rsid w:val="00272197"/>
    <w:rsid w:val="00272DCB"/>
    <w:rsid w:val="00273401"/>
    <w:rsid w:val="00274119"/>
    <w:rsid w:val="00274367"/>
    <w:rsid w:val="00274B0B"/>
    <w:rsid w:val="0027519D"/>
    <w:rsid w:val="002756CA"/>
    <w:rsid w:val="00275ECE"/>
    <w:rsid w:val="0027672E"/>
    <w:rsid w:val="002777F3"/>
    <w:rsid w:val="002779D2"/>
    <w:rsid w:val="00280102"/>
    <w:rsid w:val="0028042F"/>
    <w:rsid w:val="002808B5"/>
    <w:rsid w:val="00280F15"/>
    <w:rsid w:val="00281217"/>
    <w:rsid w:val="00282654"/>
    <w:rsid w:val="00282DBC"/>
    <w:rsid w:val="00284072"/>
    <w:rsid w:val="00284300"/>
    <w:rsid w:val="00284A6F"/>
    <w:rsid w:val="00284E2F"/>
    <w:rsid w:val="00285121"/>
    <w:rsid w:val="00285CDF"/>
    <w:rsid w:val="0028614D"/>
    <w:rsid w:val="002865DA"/>
    <w:rsid w:val="00286641"/>
    <w:rsid w:val="00286725"/>
    <w:rsid w:val="002867C7"/>
    <w:rsid w:val="00286877"/>
    <w:rsid w:val="00286A66"/>
    <w:rsid w:val="00286B1F"/>
    <w:rsid w:val="0028710B"/>
    <w:rsid w:val="0028777D"/>
    <w:rsid w:val="00290108"/>
    <w:rsid w:val="0029095E"/>
    <w:rsid w:val="00290DF9"/>
    <w:rsid w:val="002916D1"/>
    <w:rsid w:val="00291A63"/>
    <w:rsid w:val="00291CA1"/>
    <w:rsid w:val="00292617"/>
    <w:rsid w:val="00292D22"/>
    <w:rsid w:val="00292E25"/>
    <w:rsid w:val="00293362"/>
    <w:rsid w:val="002939B3"/>
    <w:rsid w:val="00293A7D"/>
    <w:rsid w:val="002948AF"/>
    <w:rsid w:val="002949CB"/>
    <w:rsid w:val="002954EB"/>
    <w:rsid w:val="002956B9"/>
    <w:rsid w:val="002958C0"/>
    <w:rsid w:val="0029638C"/>
    <w:rsid w:val="002964E8"/>
    <w:rsid w:val="002977A1"/>
    <w:rsid w:val="00297BA2"/>
    <w:rsid w:val="00297F3D"/>
    <w:rsid w:val="002A01E1"/>
    <w:rsid w:val="002A0D51"/>
    <w:rsid w:val="002A163A"/>
    <w:rsid w:val="002A1984"/>
    <w:rsid w:val="002A233A"/>
    <w:rsid w:val="002A246D"/>
    <w:rsid w:val="002A27D9"/>
    <w:rsid w:val="002A2EA0"/>
    <w:rsid w:val="002A35E8"/>
    <w:rsid w:val="002A3D00"/>
    <w:rsid w:val="002A3EB4"/>
    <w:rsid w:val="002A3F5B"/>
    <w:rsid w:val="002A42EA"/>
    <w:rsid w:val="002A4EF4"/>
    <w:rsid w:val="002A500A"/>
    <w:rsid w:val="002A5070"/>
    <w:rsid w:val="002A560E"/>
    <w:rsid w:val="002A56E8"/>
    <w:rsid w:val="002A5906"/>
    <w:rsid w:val="002A6456"/>
    <w:rsid w:val="002A6CD0"/>
    <w:rsid w:val="002A6E29"/>
    <w:rsid w:val="002A7248"/>
    <w:rsid w:val="002A7F33"/>
    <w:rsid w:val="002B0BDD"/>
    <w:rsid w:val="002B105D"/>
    <w:rsid w:val="002B124A"/>
    <w:rsid w:val="002B15D8"/>
    <w:rsid w:val="002B184C"/>
    <w:rsid w:val="002B1B57"/>
    <w:rsid w:val="002B1D78"/>
    <w:rsid w:val="002B1EB0"/>
    <w:rsid w:val="002B2B63"/>
    <w:rsid w:val="002B2DC7"/>
    <w:rsid w:val="002B3796"/>
    <w:rsid w:val="002B520C"/>
    <w:rsid w:val="002B6A4B"/>
    <w:rsid w:val="002C01CF"/>
    <w:rsid w:val="002C073D"/>
    <w:rsid w:val="002C07F1"/>
    <w:rsid w:val="002C0DCE"/>
    <w:rsid w:val="002C1AD5"/>
    <w:rsid w:val="002C1F19"/>
    <w:rsid w:val="002C245E"/>
    <w:rsid w:val="002C2DAD"/>
    <w:rsid w:val="002C39DA"/>
    <w:rsid w:val="002C3B3A"/>
    <w:rsid w:val="002C4006"/>
    <w:rsid w:val="002C4265"/>
    <w:rsid w:val="002C44AD"/>
    <w:rsid w:val="002C4830"/>
    <w:rsid w:val="002C4D5C"/>
    <w:rsid w:val="002C6313"/>
    <w:rsid w:val="002C661C"/>
    <w:rsid w:val="002C7078"/>
    <w:rsid w:val="002C761F"/>
    <w:rsid w:val="002D08C8"/>
    <w:rsid w:val="002D0ADA"/>
    <w:rsid w:val="002D1321"/>
    <w:rsid w:val="002D16AA"/>
    <w:rsid w:val="002D1E14"/>
    <w:rsid w:val="002D21F0"/>
    <w:rsid w:val="002D2B05"/>
    <w:rsid w:val="002D39CE"/>
    <w:rsid w:val="002D417B"/>
    <w:rsid w:val="002D5C19"/>
    <w:rsid w:val="002D5CB8"/>
    <w:rsid w:val="002D6422"/>
    <w:rsid w:val="002D6F16"/>
    <w:rsid w:val="002D79C7"/>
    <w:rsid w:val="002D7C3E"/>
    <w:rsid w:val="002E0757"/>
    <w:rsid w:val="002E08DA"/>
    <w:rsid w:val="002E1266"/>
    <w:rsid w:val="002E198F"/>
    <w:rsid w:val="002E1CC7"/>
    <w:rsid w:val="002E27D5"/>
    <w:rsid w:val="002E27FE"/>
    <w:rsid w:val="002E3688"/>
    <w:rsid w:val="002E3777"/>
    <w:rsid w:val="002E4081"/>
    <w:rsid w:val="002E47D0"/>
    <w:rsid w:val="002E4D37"/>
    <w:rsid w:val="002E5345"/>
    <w:rsid w:val="002E5505"/>
    <w:rsid w:val="002E575A"/>
    <w:rsid w:val="002E6ED4"/>
    <w:rsid w:val="002E7575"/>
    <w:rsid w:val="002E7660"/>
    <w:rsid w:val="002E7F6B"/>
    <w:rsid w:val="002F09F6"/>
    <w:rsid w:val="002F0B73"/>
    <w:rsid w:val="002F0D45"/>
    <w:rsid w:val="002F110D"/>
    <w:rsid w:val="002F17A2"/>
    <w:rsid w:val="002F1832"/>
    <w:rsid w:val="002F1D3D"/>
    <w:rsid w:val="002F210A"/>
    <w:rsid w:val="002F268D"/>
    <w:rsid w:val="002F2AE6"/>
    <w:rsid w:val="002F2D12"/>
    <w:rsid w:val="002F37E7"/>
    <w:rsid w:val="002F3B21"/>
    <w:rsid w:val="002F3DB0"/>
    <w:rsid w:val="002F3E48"/>
    <w:rsid w:val="002F498B"/>
    <w:rsid w:val="002F55BE"/>
    <w:rsid w:val="002F5A63"/>
    <w:rsid w:val="002F61A2"/>
    <w:rsid w:val="002F64F8"/>
    <w:rsid w:val="002F7865"/>
    <w:rsid w:val="002F7D7A"/>
    <w:rsid w:val="00300C21"/>
    <w:rsid w:val="00300D63"/>
    <w:rsid w:val="00302111"/>
    <w:rsid w:val="00302291"/>
    <w:rsid w:val="00302848"/>
    <w:rsid w:val="0030314A"/>
    <w:rsid w:val="00303279"/>
    <w:rsid w:val="00304626"/>
    <w:rsid w:val="00304635"/>
    <w:rsid w:val="00305059"/>
    <w:rsid w:val="003051CE"/>
    <w:rsid w:val="00305730"/>
    <w:rsid w:val="003059F0"/>
    <w:rsid w:val="00306282"/>
    <w:rsid w:val="00306A71"/>
    <w:rsid w:val="00306D13"/>
    <w:rsid w:val="003070B3"/>
    <w:rsid w:val="00307C4B"/>
    <w:rsid w:val="003101D9"/>
    <w:rsid w:val="00310ACB"/>
    <w:rsid w:val="00310BCA"/>
    <w:rsid w:val="00310C98"/>
    <w:rsid w:val="003114DC"/>
    <w:rsid w:val="0031151F"/>
    <w:rsid w:val="00311E52"/>
    <w:rsid w:val="003120B9"/>
    <w:rsid w:val="003129F9"/>
    <w:rsid w:val="00313118"/>
    <w:rsid w:val="00313883"/>
    <w:rsid w:val="00313A92"/>
    <w:rsid w:val="00314036"/>
    <w:rsid w:val="0031439E"/>
    <w:rsid w:val="00314604"/>
    <w:rsid w:val="0031466B"/>
    <w:rsid w:val="00315A58"/>
    <w:rsid w:val="00315B06"/>
    <w:rsid w:val="00315DD3"/>
    <w:rsid w:val="0031608F"/>
    <w:rsid w:val="00316411"/>
    <w:rsid w:val="003167AD"/>
    <w:rsid w:val="00316873"/>
    <w:rsid w:val="003168D4"/>
    <w:rsid w:val="00316E05"/>
    <w:rsid w:val="003170B1"/>
    <w:rsid w:val="00317304"/>
    <w:rsid w:val="00317F66"/>
    <w:rsid w:val="003211C0"/>
    <w:rsid w:val="003212A2"/>
    <w:rsid w:val="00321350"/>
    <w:rsid w:val="00321E3F"/>
    <w:rsid w:val="0032256C"/>
    <w:rsid w:val="003229C0"/>
    <w:rsid w:val="00322A89"/>
    <w:rsid w:val="00322BBC"/>
    <w:rsid w:val="0032407F"/>
    <w:rsid w:val="00324D63"/>
    <w:rsid w:val="00325B1F"/>
    <w:rsid w:val="00325CCC"/>
    <w:rsid w:val="003263B6"/>
    <w:rsid w:val="003270D9"/>
    <w:rsid w:val="00327404"/>
    <w:rsid w:val="0032788F"/>
    <w:rsid w:val="003279A1"/>
    <w:rsid w:val="00330209"/>
    <w:rsid w:val="0033026D"/>
    <w:rsid w:val="003303FF"/>
    <w:rsid w:val="00333333"/>
    <w:rsid w:val="00333E2D"/>
    <w:rsid w:val="003340D8"/>
    <w:rsid w:val="0033469D"/>
    <w:rsid w:val="00334B4D"/>
    <w:rsid w:val="00334CAC"/>
    <w:rsid w:val="00335ED0"/>
    <w:rsid w:val="00335FE1"/>
    <w:rsid w:val="0033673A"/>
    <w:rsid w:val="00337283"/>
    <w:rsid w:val="0033797B"/>
    <w:rsid w:val="00337EFA"/>
    <w:rsid w:val="003406B2"/>
    <w:rsid w:val="003409F8"/>
    <w:rsid w:val="00341453"/>
    <w:rsid w:val="00341744"/>
    <w:rsid w:val="003418F3"/>
    <w:rsid w:val="00341A9B"/>
    <w:rsid w:val="00341F6E"/>
    <w:rsid w:val="003420DE"/>
    <w:rsid w:val="00342AD0"/>
    <w:rsid w:val="00342D5C"/>
    <w:rsid w:val="00344078"/>
    <w:rsid w:val="003442C7"/>
    <w:rsid w:val="00345B9D"/>
    <w:rsid w:val="00345E07"/>
    <w:rsid w:val="00346170"/>
    <w:rsid w:val="0035033D"/>
    <w:rsid w:val="00350D54"/>
    <w:rsid w:val="003517DF"/>
    <w:rsid w:val="00351DED"/>
    <w:rsid w:val="00351EFA"/>
    <w:rsid w:val="00353152"/>
    <w:rsid w:val="00353AD1"/>
    <w:rsid w:val="0035423C"/>
    <w:rsid w:val="003546F8"/>
    <w:rsid w:val="00354C62"/>
    <w:rsid w:val="003550CB"/>
    <w:rsid w:val="003579BA"/>
    <w:rsid w:val="003601F4"/>
    <w:rsid w:val="0036022A"/>
    <w:rsid w:val="003608F5"/>
    <w:rsid w:val="00360FDF"/>
    <w:rsid w:val="00361ACA"/>
    <w:rsid w:val="003629E7"/>
    <w:rsid w:val="00363450"/>
    <w:rsid w:val="00363643"/>
    <w:rsid w:val="00364913"/>
    <w:rsid w:val="00364EB2"/>
    <w:rsid w:val="0036508B"/>
    <w:rsid w:val="00365960"/>
    <w:rsid w:val="00365B89"/>
    <w:rsid w:val="00365B9B"/>
    <w:rsid w:val="00365EED"/>
    <w:rsid w:val="003662F0"/>
    <w:rsid w:val="0036644D"/>
    <w:rsid w:val="00367AA0"/>
    <w:rsid w:val="00367E8C"/>
    <w:rsid w:val="003705FF"/>
    <w:rsid w:val="00370EAB"/>
    <w:rsid w:val="00370FB0"/>
    <w:rsid w:val="0037155B"/>
    <w:rsid w:val="00371570"/>
    <w:rsid w:val="0037197A"/>
    <w:rsid w:val="003719CD"/>
    <w:rsid w:val="0037262B"/>
    <w:rsid w:val="00372E53"/>
    <w:rsid w:val="00372F4D"/>
    <w:rsid w:val="00373850"/>
    <w:rsid w:val="00373C90"/>
    <w:rsid w:val="00373DD3"/>
    <w:rsid w:val="00373F1A"/>
    <w:rsid w:val="00374210"/>
    <w:rsid w:val="00375276"/>
    <w:rsid w:val="003757E3"/>
    <w:rsid w:val="00375D4B"/>
    <w:rsid w:val="00376EF9"/>
    <w:rsid w:val="00377468"/>
    <w:rsid w:val="003779B3"/>
    <w:rsid w:val="00377EB1"/>
    <w:rsid w:val="00380744"/>
    <w:rsid w:val="0038081F"/>
    <w:rsid w:val="00381358"/>
    <w:rsid w:val="003814A1"/>
    <w:rsid w:val="00381556"/>
    <w:rsid w:val="0038250E"/>
    <w:rsid w:val="00382767"/>
    <w:rsid w:val="00382F7B"/>
    <w:rsid w:val="00383027"/>
    <w:rsid w:val="003849DF"/>
    <w:rsid w:val="0038586A"/>
    <w:rsid w:val="00386462"/>
    <w:rsid w:val="00387732"/>
    <w:rsid w:val="003901B9"/>
    <w:rsid w:val="00390290"/>
    <w:rsid w:val="0039097A"/>
    <w:rsid w:val="00390BF9"/>
    <w:rsid w:val="00390E4F"/>
    <w:rsid w:val="00390F44"/>
    <w:rsid w:val="00391214"/>
    <w:rsid w:val="003926DF"/>
    <w:rsid w:val="00392766"/>
    <w:rsid w:val="003930A2"/>
    <w:rsid w:val="00393203"/>
    <w:rsid w:val="00393640"/>
    <w:rsid w:val="00393650"/>
    <w:rsid w:val="00393E10"/>
    <w:rsid w:val="00394047"/>
    <w:rsid w:val="0039405C"/>
    <w:rsid w:val="00394C71"/>
    <w:rsid w:val="00395395"/>
    <w:rsid w:val="00396B95"/>
    <w:rsid w:val="00396D10"/>
    <w:rsid w:val="003971BF"/>
    <w:rsid w:val="003972EF"/>
    <w:rsid w:val="003A0878"/>
    <w:rsid w:val="003A08B6"/>
    <w:rsid w:val="003A1E49"/>
    <w:rsid w:val="003A2204"/>
    <w:rsid w:val="003A231F"/>
    <w:rsid w:val="003A29BE"/>
    <w:rsid w:val="003A2FC6"/>
    <w:rsid w:val="003A3CDE"/>
    <w:rsid w:val="003A423F"/>
    <w:rsid w:val="003A4297"/>
    <w:rsid w:val="003A467D"/>
    <w:rsid w:val="003A4B01"/>
    <w:rsid w:val="003A5573"/>
    <w:rsid w:val="003A5970"/>
    <w:rsid w:val="003A5CAA"/>
    <w:rsid w:val="003A689F"/>
    <w:rsid w:val="003A7160"/>
    <w:rsid w:val="003A76C0"/>
    <w:rsid w:val="003B044E"/>
    <w:rsid w:val="003B0B50"/>
    <w:rsid w:val="003B126A"/>
    <w:rsid w:val="003B299A"/>
    <w:rsid w:val="003B2BA7"/>
    <w:rsid w:val="003B3200"/>
    <w:rsid w:val="003B3D30"/>
    <w:rsid w:val="003B402A"/>
    <w:rsid w:val="003B442B"/>
    <w:rsid w:val="003B4A90"/>
    <w:rsid w:val="003B5710"/>
    <w:rsid w:val="003B5796"/>
    <w:rsid w:val="003B5B9A"/>
    <w:rsid w:val="003B5D26"/>
    <w:rsid w:val="003B5E0E"/>
    <w:rsid w:val="003B614E"/>
    <w:rsid w:val="003B639E"/>
    <w:rsid w:val="003B64C6"/>
    <w:rsid w:val="003B68BC"/>
    <w:rsid w:val="003B6DC3"/>
    <w:rsid w:val="003C01D3"/>
    <w:rsid w:val="003C04D1"/>
    <w:rsid w:val="003C052C"/>
    <w:rsid w:val="003C05AD"/>
    <w:rsid w:val="003C14A9"/>
    <w:rsid w:val="003C1A82"/>
    <w:rsid w:val="003C1EB9"/>
    <w:rsid w:val="003C1F5A"/>
    <w:rsid w:val="003C25BD"/>
    <w:rsid w:val="003C3453"/>
    <w:rsid w:val="003C47A5"/>
    <w:rsid w:val="003C49B8"/>
    <w:rsid w:val="003C4A2B"/>
    <w:rsid w:val="003C4B1B"/>
    <w:rsid w:val="003C4CAE"/>
    <w:rsid w:val="003C5128"/>
    <w:rsid w:val="003C5343"/>
    <w:rsid w:val="003C57A2"/>
    <w:rsid w:val="003C59A8"/>
    <w:rsid w:val="003C5ACB"/>
    <w:rsid w:val="003C5C01"/>
    <w:rsid w:val="003C6472"/>
    <w:rsid w:val="003C64CB"/>
    <w:rsid w:val="003C6893"/>
    <w:rsid w:val="003C76B7"/>
    <w:rsid w:val="003C7D1B"/>
    <w:rsid w:val="003D063E"/>
    <w:rsid w:val="003D0C1F"/>
    <w:rsid w:val="003D0C75"/>
    <w:rsid w:val="003D0EEE"/>
    <w:rsid w:val="003D1D9C"/>
    <w:rsid w:val="003D270C"/>
    <w:rsid w:val="003D2B10"/>
    <w:rsid w:val="003D2CB4"/>
    <w:rsid w:val="003D37EE"/>
    <w:rsid w:val="003D38D6"/>
    <w:rsid w:val="003D38F1"/>
    <w:rsid w:val="003D39E1"/>
    <w:rsid w:val="003D3E8B"/>
    <w:rsid w:val="003D43A8"/>
    <w:rsid w:val="003D46A9"/>
    <w:rsid w:val="003D4C35"/>
    <w:rsid w:val="003D501F"/>
    <w:rsid w:val="003D5837"/>
    <w:rsid w:val="003D5AFB"/>
    <w:rsid w:val="003D6110"/>
    <w:rsid w:val="003D612D"/>
    <w:rsid w:val="003D62E9"/>
    <w:rsid w:val="003D710B"/>
    <w:rsid w:val="003D77B9"/>
    <w:rsid w:val="003E0370"/>
    <w:rsid w:val="003E118B"/>
    <w:rsid w:val="003E15D8"/>
    <w:rsid w:val="003E1E1E"/>
    <w:rsid w:val="003E1F7C"/>
    <w:rsid w:val="003E2999"/>
    <w:rsid w:val="003E2F69"/>
    <w:rsid w:val="003E2F6C"/>
    <w:rsid w:val="003E3DBF"/>
    <w:rsid w:val="003E463C"/>
    <w:rsid w:val="003E512B"/>
    <w:rsid w:val="003E5F0D"/>
    <w:rsid w:val="003E62C3"/>
    <w:rsid w:val="003E6B19"/>
    <w:rsid w:val="003E6B5E"/>
    <w:rsid w:val="003E76EF"/>
    <w:rsid w:val="003F09BB"/>
    <w:rsid w:val="003F0A3C"/>
    <w:rsid w:val="003F1F4D"/>
    <w:rsid w:val="003F35D6"/>
    <w:rsid w:val="003F3901"/>
    <w:rsid w:val="003F3C5C"/>
    <w:rsid w:val="003F4ECA"/>
    <w:rsid w:val="003F54FB"/>
    <w:rsid w:val="003F5FA7"/>
    <w:rsid w:val="003F640E"/>
    <w:rsid w:val="003F666C"/>
    <w:rsid w:val="003F732B"/>
    <w:rsid w:val="003F7429"/>
    <w:rsid w:val="003F76CA"/>
    <w:rsid w:val="003F7C28"/>
    <w:rsid w:val="003F7D76"/>
    <w:rsid w:val="003F7FE6"/>
    <w:rsid w:val="00400360"/>
    <w:rsid w:val="00400A74"/>
    <w:rsid w:val="00400E95"/>
    <w:rsid w:val="00401497"/>
    <w:rsid w:val="00401808"/>
    <w:rsid w:val="004022C2"/>
    <w:rsid w:val="00403155"/>
    <w:rsid w:val="00403AB5"/>
    <w:rsid w:val="00403D94"/>
    <w:rsid w:val="0040508C"/>
    <w:rsid w:val="004060DB"/>
    <w:rsid w:val="004072A9"/>
    <w:rsid w:val="004075F2"/>
    <w:rsid w:val="00407761"/>
    <w:rsid w:val="00407985"/>
    <w:rsid w:val="0041006A"/>
    <w:rsid w:val="00410182"/>
    <w:rsid w:val="0041030A"/>
    <w:rsid w:val="00410D37"/>
    <w:rsid w:val="00411322"/>
    <w:rsid w:val="004114AE"/>
    <w:rsid w:val="004118EE"/>
    <w:rsid w:val="0041219E"/>
    <w:rsid w:val="0041299E"/>
    <w:rsid w:val="00413260"/>
    <w:rsid w:val="00413F1C"/>
    <w:rsid w:val="004142E5"/>
    <w:rsid w:val="00416928"/>
    <w:rsid w:val="00416CA5"/>
    <w:rsid w:val="00417D25"/>
    <w:rsid w:val="00421748"/>
    <w:rsid w:val="00423430"/>
    <w:rsid w:val="0042507E"/>
    <w:rsid w:val="004250D9"/>
    <w:rsid w:val="00425213"/>
    <w:rsid w:val="004257A6"/>
    <w:rsid w:val="00425F73"/>
    <w:rsid w:val="0042646E"/>
    <w:rsid w:val="00427515"/>
    <w:rsid w:val="00427AEC"/>
    <w:rsid w:val="00427E26"/>
    <w:rsid w:val="0043045B"/>
    <w:rsid w:val="00430633"/>
    <w:rsid w:val="00430BD5"/>
    <w:rsid w:val="00431032"/>
    <w:rsid w:val="0043199D"/>
    <w:rsid w:val="00432051"/>
    <w:rsid w:val="004323E7"/>
    <w:rsid w:val="00432669"/>
    <w:rsid w:val="00432B7A"/>
    <w:rsid w:val="00433648"/>
    <w:rsid w:val="004339DF"/>
    <w:rsid w:val="004348B1"/>
    <w:rsid w:val="004363A5"/>
    <w:rsid w:val="00437164"/>
    <w:rsid w:val="00437964"/>
    <w:rsid w:val="00437E47"/>
    <w:rsid w:val="004402DC"/>
    <w:rsid w:val="0044057A"/>
    <w:rsid w:val="00440605"/>
    <w:rsid w:val="004407AA"/>
    <w:rsid w:val="00440B80"/>
    <w:rsid w:val="004419BD"/>
    <w:rsid w:val="00441B6B"/>
    <w:rsid w:val="00441BB2"/>
    <w:rsid w:val="00441EFB"/>
    <w:rsid w:val="0044208E"/>
    <w:rsid w:val="004426A8"/>
    <w:rsid w:val="004434E3"/>
    <w:rsid w:val="00443AC0"/>
    <w:rsid w:val="00443B92"/>
    <w:rsid w:val="00443CD3"/>
    <w:rsid w:val="00443EDE"/>
    <w:rsid w:val="00444B35"/>
    <w:rsid w:val="00445325"/>
    <w:rsid w:val="00445C5C"/>
    <w:rsid w:val="00446344"/>
    <w:rsid w:val="00446977"/>
    <w:rsid w:val="00446A2F"/>
    <w:rsid w:val="00447024"/>
    <w:rsid w:val="004500CA"/>
    <w:rsid w:val="00450858"/>
    <w:rsid w:val="0045116D"/>
    <w:rsid w:val="00451CD3"/>
    <w:rsid w:val="00452207"/>
    <w:rsid w:val="00454539"/>
    <w:rsid w:val="004546BC"/>
    <w:rsid w:val="00454890"/>
    <w:rsid w:val="004553F9"/>
    <w:rsid w:val="00455993"/>
    <w:rsid w:val="00456230"/>
    <w:rsid w:val="00456862"/>
    <w:rsid w:val="00457110"/>
    <w:rsid w:val="00461B9C"/>
    <w:rsid w:val="00461C2E"/>
    <w:rsid w:val="00462250"/>
    <w:rsid w:val="00462964"/>
    <w:rsid w:val="00462A27"/>
    <w:rsid w:val="00462CF8"/>
    <w:rsid w:val="004635B8"/>
    <w:rsid w:val="00464058"/>
    <w:rsid w:val="004640F8"/>
    <w:rsid w:val="00465328"/>
    <w:rsid w:val="004657C1"/>
    <w:rsid w:val="004661EA"/>
    <w:rsid w:val="00466BF3"/>
    <w:rsid w:val="004674B1"/>
    <w:rsid w:val="004675B4"/>
    <w:rsid w:val="004676A8"/>
    <w:rsid w:val="00467E55"/>
    <w:rsid w:val="00470530"/>
    <w:rsid w:val="00471323"/>
    <w:rsid w:val="00471C15"/>
    <w:rsid w:val="00472BCF"/>
    <w:rsid w:val="00475D47"/>
    <w:rsid w:val="00475F03"/>
    <w:rsid w:val="00476D4A"/>
    <w:rsid w:val="00476D6E"/>
    <w:rsid w:val="004777A9"/>
    <w:rsid w:val="0048116B"/>
    <w:rsid w:val="00481499"/>
    <w:rsid w:val="00481577"/>
    <w:rsid w:val="00481F9A"/>
    <w:rsid w:val="004826AB"/>
    <w:rsid w:val="0048329A"/>
    <w:rsid w:val="0048337A"/>
    <w:rsid w:val="00483689"/>
    <w:rsid w:val="0048375D"/>
    <w:rsid w:val="00483FED"/>
    <w:rsid w:val="0048424D"/>
    <w:rsid w:val="0048462B"/>
    <w:rsid w:val="00484A52"/>
    <w:rsid w:val="00484B32"/>
    <w:rsid w:val="0048659A"/>
    <w:rsid w:val="004865DF"/>
    <w:rsid w:val="00490456"/>
    <w:rsid w:val="0049094A"/>
    <w:rsid w:val="00490D60"/>
    <w:rsid w:val="00491BA2"/>
    <w:rsid w:val="00491F01"/>
    <w:rsid w:val="00491F3F"/>
    <w:rsid w:val="0049293D"/>
    <w:rsid w:val="0049381F"/>
    <w:rsid w:val="004944C7"/>
    <w:rsid w:val="00494554"/>
    <w:rsid w:val="00494A1E"/>
    <w:rsid w:val="0049544A"/>
    <w:rsid w:val="00495DDD"/>
    <w:rsid w:val="0049616D"/>
    <w:rsid w:val="004963B0"/>
    <w:rsid w:val="004966DA"/>
    <w:rsid w:val="00496758"/>
    <w:rsid w:val="00496B1B"/>
    <w:rsid w:val="004971AB"/>
    <w:rsid w:val="004977F2"/>
    <w:rsid w:val="00497D53"/>
    <w:rsid w:val="004A0482"/>
    <w:rsid w:val="004A0653"/>
    <w:rsid w:val="004A0796"/>
    <w:rsid w:val="004A0FD6"/>
    <w:rsid w:val="004A19E8"/>
    <w:rsid w:val="004A1DAD"/>
    <w:rsid w:val="004A265A"/>
    <w:rsid w:val="004A27D9"/>
    <w:rsid w:val="004A2861"/>
    <w:rsid w:val="004A28E1"/>
    <w:rsid w:val="004A3360"/>
    <w:rsid w:val="004A4099"/>
    <w:rsid w:val="004A5CA2"/>
    <w:rsid w:val="004A6019"/>
    <w:rsid w:val="004A6628"/>
    <w:rsid w:val="004A7183"/>
    <w:rsid w:val="004A7826"/>
    <w:rsid w:val="004B0030"/>
    <w:rsid w:val="004B00B0"/>
    <w:rsid w:val="004B0F51"/>
    <w:rsid w:val="004B17A5"/>
    <w:rsid w:val="004B18D4"/>
    <w:rsid w:val="004B19F1"/>
    <w:rsid w:val="004B1B14"/>
    <w:rsid w:val="004B1EBA"/>
    <w:rsid w:val="004B263E"/>
    <w:rsid w:val="004B2EA7"/>
    <w:rsid w:val="004B34DF"/>
    <w:rsid w:val="004B41C1"/>
    <w:rsid w:val="004B494A"/>
    <w:rsid w:val="004B5B03"/>
    <w:rsid w:val="004B659A"/>
    <w:rsid w:val="004B6C90"/>
    <w:rsid w:val="004B6EA3"/>
    <w:rsid w:val="004B7081"/>
    <w:rsid w:val="004B7A19"/>
    <w:rsid w:val="004C0145"/>
    <w:rsid w:val="004C02CA"/>
    <w:rsid w:val="004C0F04"/>
    <w:rsid w:val="004C1274"/>
    <w:rsid w:val="004C1287"/>
    <w:rsid w:val="004C15B0"/>
    <w:rsid w:val="004C266A"/>
    <w:rsid w:val="004C387A"/>
    <w:rsid w:val="004C3B0F"/>
    <w:rsid w:val="004C3DFF"/>
    <w:rsid w:val="004C55AE"/>
    <w:rsid w:val="004C5F47"/>
    <w:rsid w:val="004C635E"/>
    <w:rsid w:val="004C74B2"/>
    <w:rsid w:val="004D0505"/>
    <w:rsid w:val="004D0C7B"/>
    <w:rsid w:val="004D203F"/>
    <w:rsid w:val="004D23E1"/>
    <w:rsid w:val="004D2462"/>
    <w:rsid w:val="004D27C8"/>
    <w:rsid w:val="004D284B"/>
    <w:rsid w:val="004D3E9E"/>
    <w:rsid w:val="004D4455"/>
    <w:rsid w:val="004D46C2"/>
    <w:rsid w:val="004D4703"/>
    <w:rsid w:val="004D4C94"/>
    <w:rsid w:val="004D4DDD"/>
    <w:rsid w:val="004D5283"/>
    <w:rsid w:val="004D58EC"/>
    <w:rsid w:val="004D6789"/>
    <w:rsid w:val="004D6B98"/>
    <w:rsid w:val="004E035E"/>
    <w:rsid w:val="004E0439"/>
    <w:rsid w:val="004E06D9"/>
    <w:rsid w:val="004E0A90"/>
    <w:rsid w:val="004E0BE0"/>
    <w:rsid w:val="004E0DFD"/>
    <w:rsid w:val="004E1800"/>
    <w:rsid w:val="004E1853"/>
    <w:rsid w:val="004E188F"/>
    <w:rsid w:val="004E1D30"/>
    <w:rsid w:val="004E1DBB"/>
    <w:rsid w:val="004E290B"/>
    <w:rsid w:val="004E2BA0"/>
    <w:rsid w:val="004E3352"/>
    <w:rsid w:val="004E38EB"/>
    <w:rsid w:val="004E43C1"/>
    <w:rsid w:val="004E56F5"/>
    <w:rsid w:val="004E5EF8"/>
    <w:rsid w:val="004E60D7"/>
    <w:rsid w:val="004E6E0E"/>
    <w:rsid w:val="004E6FDA"/>
    <w:rsid w:val="004F0CA0"/>
    <w:rsid w:val="004F1D1C"/>
    <w:rsid w:val="004F1D85"/>
    <w:rsid w:val="004F2399"/>
    <w:rsid w:val="004F27C5"/>
    <w:rsid w:val="004F2C68"/>
    <w:rsid w:val="004F2D16"/>
    <w:rsid w:val="004F3B32"/>
    <w:rsid w:val="004F4651"/>
    <w:rsid w:val="004F47FF"/>
    <w:rsid w:val="004F48B8"/>
    <w:rsid w:val="004F54DF"/>
    <w:rsid w:val="004F56A1"/>
    <w:rsid w:val="004F59AA"/>
    <w:rsid w:val="004F5B48"/>
    <w:rsid w:val="004F60E6"/>
    <w:rsid w:val="004F6489"/>
    <w:rsid w:val="004F685C"/>
    <w:rsid w:val="004F6B7A"/>
    <w:rsid w:val="004F6C77"/>
    <w:rsid w:val="004F7A95"/>
    <w:rsid w:val="004F7CE4"/>
    <w:rsid w:val="005012BD"/>
    <w:rsid w:val="005012DE"/>
    <w:rsid w:val="00501D5D"/>
    <w:rsid w:val="00502BF8"/>
    <w:rsid w:val="00502CC7"/>
    <w:rsid w:val="00502F05"/>
    <w:rsid w:val="00502F1E"/>
    <w:rsid w:val="005032F5"/>
    <w:rsid w:val="0050356D"/>
    <w:rsid w:val="00503B20"/>
    <w:rsid w:val="005047D4"/>
    <w:rsid w:val="00504EAC"/>
    <w:rsid w:val="00506C0F"/>
    <w:rsid w:val="0050742E"/>
    <w:rsid w:val="0051137F"/>
    <w:rsid w:val="005117DD"/>
    <w:rsid w:val="0051190A"/>
    <w:rsid w:val="00512738"/>
    <w:rsid w:val="00512C10"/>
    <w:rsid w:val="0051305A"/>
    <w:rsid w:val="005141C1"/>
    <w:rsid w:val="0051574A"/>
    <w:rsid w:val="0051621E"/>
    <w:rsid w:val="00517834"/>
    <w:rsid w:val="005204C8"/>
    <w:rsid w:val="00520AF8"/>
    <w:rsid w:val="0052124B"/>
    <w:rsid w:val="005221F3"/>
    <w:rsid w:val="00522580"/>
    <w:rsid w:val="00522B7A"/>
    <w:rsid w:val="00523C1D"/>
    <w:rsid w:val="00524700"/>
    <w:rsid w:val="005247DE"/>
    <w:rsid w:val="0052556D"/>
    <w:rsid w:val="005256F1"/>
    <w:rsid w:val="005258D5"/>
    <w:rsid w:val="005266EF"/>
    <w:rsid w:val="00526CDB"/>
    <w:rsid w:val="00526E4A"/>
    <w:rsid w:val="00526E9E"/>
    <w:rsid w:val="00530320"/>
    <w:rsid w:val="00530397"/>
    <w:rsid w:val="00530938"/>
    <w:rsid w:val="00530E0C"/>
    <w:rsid w:val="00532394"/>
    <w:rsid w:val="00533044"/>
    <w:rsid w:val="00533581"/>
    <w:rsid w:val="00533E90"/>
    <w:rsid w:val="00534047"/>
    <w:rsid w:val="00534589"/>
    <w:rsid w:val="005348CA"/>
    <w:rsid w:val="00534B13"/>
    <w:rsid w:val="00535877"/>
    <w:rsid w:val="00536A93"/>
    <w:rsid w:val="00536CCC"/>
    <w:rsid w:val="00537084"/>
    <w:rsid w:val="0053743B"/>
    <w:rsid w:val="005376C7"/>
    <w:rsid w:val="005378FA"/>
    <w:rsid w:val="00537EEC"/>
    <w:rsid w:val="00537FF7"/>
    <w:rsid w:val="005407DC"/>
    <w:rsid w:val="00540A41"/>
    <w:rsid w:val="00540BB6"/>
    <w:rsid w:val="005415EC"/>
    <w:rsid w:val="0054175B"/>
    <w:rsid w:val="00541E67"/>
    <w:rsid w:val="00541E92"/>
    <w:rsid w:val="00542B62"/>
    <w:rsid w:val="00542D5A"/>
    <w:rsid w:val="00543079"/>
    <w:rsid w:val="00543312"/>
    <w:rsid w:val="00543F8D"/>
    <w:rsid w:val="00544387"/>
    <w:rsid w:val="00544828"/>
    <w:rsid w:val="00545304"/>
    <w:rsid w:val="00545921"/>
    <w:rsid w:val="00546BB5"/>
    <w:rsid w:val="00546FC7"/>
    <w:rsid w:val="00546FE3"/>
    <w:rsid w:val="00547307"/>
    <w:rsid w:val="005506E1"/>
    <w:rsid w:val="00550797"/>
    <w:rsid w:val="00550C88"/>
    <w:rsid w:val="005519C3"/>
    <w:rsid w:val="00551B62"/>
    <w:rsid w:val="00552775"/>
    <w:rsid w:val="005529F2"/>
    <w:rsid w:val="00553181"/>
    <w:rsid w:val="005533E0"/>
    <w:rsid w:val="005534F1"/>
    <w:rsid w:val="00553FEF"/>
    <w:rsid w:val="00554642"/>
    <w:rsid w:val="00555109"/>
    <w:rsid w:val="005551DF"/>
    <w:rsid w:val="00555363"/>
    <w:rsid w:val="0055590C"/>
    <w:rsid w:val="00555D73"/>
    <w:rsid w:val="005560FE"/>
    <w:rsid w:val="00556826"/>
    <w:rsid w:val="00556E29"/>
    <w:rsid w:val="00557465"/>
    <w:rsid w:val="00557A5E"/>
    <w:rsid w:val="00560D17"/>
    <w:rsid w:val="00560F48"/>
    <w:rsid w:val="005615E0"/>
    <w:rsid w:val="00561920"/>
    <w:rsid w:val="00562364"/>
    <w:rsid w:val="00562390"/>
    <w:rsid w:val="00562534"/>
    <w:rsid w:val="0056253B"/>
    <w:rsid w:val="00562CA8"/>
    <w:rsid w:val="00562EC7"/>
    <w:rsid w:val="00563D51"/>
    <w:rsid w:val="00563D91"/>
    <w:rsid w:val="005640E5"/>
    <w:rsid w:val="00564D2D"/>
    <w:rsid w:val="00565BCB"/>
    <w:rsid w:val="00566286"/>
    <w:rsid w:val="005664FE"/>
    <w:rsid w:val="00566685"/>
    <w:rsid w:val="00566B78"/>
    <w:rsid w:val="00566DD0"/>
    <w:rsid w:val="00566E18"/>
    <w:rsid w:val="00567CA2"/>
    <w:rsid w:val="00567D50"/>
    <w:rsid w:val="00567D93"/>
    <w:rsid w:val="00567E79"/>
    <w:rsid w:val="00567FF8"/>
    <w:rsid w:val="00571394"/>
    <w:rsid w:val="00571ED4"/>
    <w:rsid w:val="00572174"/>
    <w:rsid w:val="0057253E"/>
    <w:rsid w:val="00572986"/>
    <w:rsid w:val="00572BB5"/>
    <w:rsid w:val="00572E1A"/>
    <w:rsid w:val="00573495"/>
    <w:rsid w:val="005736E5"/>
    <w:rsid w:val="00573851"/>
    <w:rsid w:val="00573D3F"/>
    <w:rsid w:val="00573FE6"/>
    <w:rsid w:val="00574B10"/>
    <w:rsid w:val="00575362"/>
    <w:rsid w:val="0057539D"/>
    <w:rsid w:val="0057575B"/>
    <w:rsid w:val="0057581C"/>
    <w:rsid w:val="00575E32"/>
    <w:rsid w:val="00576A67"/>
    <w:rsid w:val="00577223"/>
    <w:rsid w:val="00577657"/>
    <w:rsid w:val="00580589"/>
    <w:rsid w:val="00580C14"/>
    <w:rsid w:val="00581680"/>
    <w:rsid w:val="00581994"/>
    <w:rsid w:val="00581C8F"/>
    <w:rsid w:val="00582611"/>
    <w:rsid w:val="0058284F"/>
    <w:rsid w:val="0058490E"/>
    <w:rsid w:val="00584972"/>
    <w:rsid w:val="005849AA"/>
    <w:rsid w:val="00584D64"/>
    <w:rsid w:val="0058508B"/>
    <w:rsid w:val="005851EE"/>
    <w:rsid w:val="005853E4"/>
    <w:rsid w:val="0058629E"/>
    <w:rsid w:val="005865D2"/>
    <w:rsid w:val="00587031"/>
    <w:rsid w:val="0058733D"/>
    <w:rsid w:val="005878E9"/>
    <w:rsid w:val="00587C2C"/>
    <w:rsid w:val="005907D5"/>
    <w:rsid w:val="00591492"/>
    <w:rsid w:val="005916EE"/>
    <w:rsid w:val="00591879"/>
    <w:rsid w:val="00592079"/>
    <w:rsid w:val="00592267"/>
    <w:rsid w:val="0059267C"/>
    <w:rsid w:val="005933D8"/>
    <w:rsid w:val="00593427"/>
    <w:rsid w:val="00593A27"/>
    <w:rsid w:val="00593BF5"/>
    <w:rsid w:val="0059420A"/>
    <w:rsid w:val="00594299"/>
    <w:rsid w:val="00594963"/>
    <w:rsid w:val="00594E80"/>
    <w:rsid w:val="005958CA"/>
    <w:rsid w:val="005959B4"/>
    <w:rsid w:val="005962A6"/>
    <w:rsid w:val="00596C57"/>
    <w:rsid w:val="00596E2D"/>
    <w:rsid w:val="005972E8"/>
    <w:rsid w:val="0059738F"/>
    <w:rsid w:val="00597F2C"/>
    <w:rsid w:val="005A0502"/>
    <w:rsid w:val="005A082C"/>
    <w:rsid w:val="005A0DD3"/>
    <w:rsid w:val="005A0F69"/>
    <w:rsid w:val="005A15DD"/>
    <w:rsid w:val="005A174B"/>
    <w:rsid w:val="005A200B"/>
    <w:rsid w:val="005A2335"/>
    <w:rsid w:val="005A2BD2"/>
    <w:rsid w:val="005A3185"/>
    <w:rsid w:val="005A31AF"/>
    <w:rsid w:val="005A31CA"/>
    <w:rsid w:val="005A4170"/>
    <w:rsid w:val="005A4468"/>
    <w:rsid w:val="005A4F9F"/>
    <w:rsid w:val="005A56CF"/>
    <w:rsid w:val="005A622E"/>
    <w:rsid w:val="005A69E7"/>
    <w:rsid w:val="005A790C"/>
    <w:rsid w:val="005B092E"/>
    <w:rsid w:val="005B1B7A"/>
    <w:rsid w:val="005B1DF6"/>
    <w:rsid w:val="005B1EB7"/>
    <w:rsid w:val="005B2432"/>
    <w:rsid w:val="005B2ABE"/>
    <w:rsid w:val="005B343E"/>
    <w:rsid w:val="005B3674"/>
    <w:rsid w:val="005B3BCF"/>
    <w:rsid w:val="005B4010"/>
    <w:rsid w:val="005B4481"/>
    <w:rsid w:val="005B4AF9"/>
    <w:rsid w:val="005B51A1"/>
    <w:rsid w:val="005B51D4"/>
    <w:rsid w:val="005B5A34"/>
    <w:rsid w:val="005B7568"/>
    <w:rsid w:val="005B7B39"/>
    <w:rsid w:val="005C0FA1"/>
    <w:rsid w:val="005C1325"/>
    <w:rsid w:val="005C1BFD"/>
    <w:rsid w:val="005C2204"/>
    <w:rsid w:val="005C2620"/>
    <w:rsid w:val="005C32AF"/>
    <w:rsid w:val="005C4185"/>
    <w:rsid w:val="005C4730"/>
    <w:rsid w:val="005C4A50"/>
    <w:rsid w:val="005C5BDC"/>
    <w:rsid w:val="005C6096"/>
    <w:rsid w:val="005C67E2"/>
    <w:rsid w:val="005C6DFA"/>
    <w:rsid w:val="005C71D0"/>
    <w:rsid w:val="005D02DE"/>
    <w:rsid w:val="005D09AC"/>
    <w:rsid w:val="005D0D30"/>
    <w:rsid w:val="005D11BA"/>
    <w:rsid w:val="005D1261"/>
    <w:rsid w:val="005D19CC"/>
    <w:rsid w:val="005D1B84"/>
    <w:rsid w:val="005D2E18"/>
    <w:rsid w:val="005D2E90"/>
    <w:rsid w:val="005D34E1"/>
    <w:rsid w:val="005D3683"/>
    <w:rsid w:val="005D3D22"/>
    <w:rsid w:val="005D3E75"/>
    <w:rsid w:val="005D45E6"/>
    <w:rsid w:val="005D4EF1"/>
    <w:rsid w:val="005D5A53"/>
    <w:rsid w:val="005D78B7"/>
    <w:rsid w:val="005E1052"/>
    <w:rsid w:val="005E15EE"/>
    <w:rsid w:val="005E166F"/>
    <w:rsid w:val="005E1774"/>
    <w:rsid w:val="005E1870"/>
    <w:rsid w:val="005E18C9"/>
    <w:rsid w:val="005E1CFA"/>
    <w:rsid w:val="005E1D5E"/>
    <w:rsid w:val="005E1E05"/>
    <w:rsid w:val="005E3943"/>
    <w:rsid w:val="005E4018"/>
    <w:rsid w:val="005E4C0A"/>
    <w:rsid w:val="005E5715"/>
    <w:rsid w:val="005E57E4"/>
    <w:rsid w:val="005E5EDC"/>
    <w:rsid w:val="005E5F9D"/>
    <w:rsid w:val="005E639A"/>
    <w:rsid w:val="005E6967"/>
    <w:rsid w:val="005E6C78"/>
    <w:rsid w:val="005E7147"/>
    <w:rsid w:val="005E76E5"/>
    <w:rsid w:val="005E7BD5"/>
    <w:rsid w:val="005F0E88"/>
    <w:rsid w:val="005F0F92"/>
    <w:rsid w:val="005F1CD9"/>
    <w:rsid w:val="005F1D69"/>
    <w:rsid w:val="005F30DB"/>
    <w:rsid w:val="005F37F3"/>
    <w:rsid w:val="005F3D24"/>
    <w:rsid w:val="005F3F0E"/>
    <w:rsid w:val="005F434D"/>
    <w:rsid w:val="005F468E"/>
    <w:rsid w:val="005F4946"/>
    <w:rsid w:val="005F50BF"/>
    <w:rsid w:val="005F5792"/>
    <w:rsid w:val="005F5BF5"/>
    <w:rsid w:val="005F63DE"/>
    <w:rsid w:val="005F70D7"/>
    <w:rsid w:val="005F7483"/>
    <w:rsid w:val="005F78E9"/>
    <w:rsid w:val="00600351"/>
    <w:rsid w:val="0060319C"/>
    <w:rsid w:val="006036DF"/>
    <w:rsid w:val="00603794"/>
    <w:rsid w:val="0060385D"/>
    <w:rsid w:val="00603C62"/>
    <w:rsid w:val="00603F5F"/>
    <w:rsid w:val="006042B3"/>
    <w:rsid w:val="00604EAA"/>
    <w:rsid w:val="006052CA"/>
    <w:rsid w:val="00605533"/>
    <w:rsid w:val="00606275"/>
    <w:rsid w:val="006064F7"/>
    <w:rsid w:val="00606663"/>
    <w:rsid w:val="00606B0F"/>
    <w:rsid w:val="00606D0F"/>
    <w:rsid w:val="00606D3D"/>
    <w:rsid w:val="00610588"/>
    <w:rsid w:val="00610629"/>
    <w:rsid w:val="00610F23"/>
    <w:rsid w:val="00611A7D"/>
    <w:rsid w:val="00611B4A"/>
    <w:rsid w:val="0061210B"/>
    <w:rsid w:val="006128C4"/>
    <w:rsid w:val="00612D1C"/>
    <w:rsid w:val="006143E1"/>
    <w:rsid w:val="006144E1"/>
    <w:rsid w:val="0061510F"/>
    <w:rsid w:val="0061662D"/>
    <w:rsid w:val="00616811"/>
    <w:rsid w:val="0062013C"/>
    <w:rsid w:val="00620149"/>
    <w:rsid w:val="006209B4"/>
    <w:rsid w:val="0062203D"/>
    <w:rsid w:val="00622CC7"/>
    <w:rsid w:val="0062354F"/>
    <w:rsid w:val="00625126"/>
    <w:rsid w:val="006258A0"/>
    <w:rsid w:val="00625B15"/>
    <w:rsid w:val="00625E5D"/>
    <w:rsid w:val="006265A0"/>
    <w:rsid w:val="00626B12"/>
    <w:rsid w:val="00627FD2"/>
    <w:rsid w:val="006309AD"/>
    <w:rsid w:val="00630E7C"/>
    <w:rsid w:val="00630F4E"/>
    <w:rsid w:val="00631BE8"/>
    <w:rsid w:val="00631F23"/>
    <w:rsid w:val="006328D2"/>
    <w:rsid w:val="006331F6"/>
    <w:rsid w:val="00633511"/>
    <w:rsid w:val="00634D8D"/>
    <w:rsid w:val="00634E47"/>
    <w:rsid w:val="00635B73"/>
    <w:rsid w:val="0063678F"/>
    <w:rsid w:val="006367EA"/>
    <w:rsid w:val="00636898"/>
    <w:rsid w:val="00636985"/>
    <w:rsid w:val="00636B7A"/>
    <w:rsid w:val="00637689"/>
    <w:rsid w:val="00637E7F"/>
    <w:rsid w:val="00640758"/>
    <w:rsid w:val="00641493"/>
    <w:rsid w:val="00641525"/>
    <w:rsid w:val="00641D09"/>
    <w:rsid w:val="006433D3"/>
    <w:rsid w:val="00643524"/>
    <w:rsid w:val="00643984"/>
    <w:rsid w:val="00643ACF"/>
    <w:rsid w:val="00644224"/>
    <w:rsid w:val="00644C5F"/>
    <w:rsid w:val="00645701"/>
    <w:rsid w:val="00646632"/>
    <w:rsid w:val="00646C1C"/>
    <w:rsid w:val="00647770"/>
    <w:rsid w:val="006478F5"/>
    <w:rsid w:val="00647DF4"/>
    <w:rsid w:val="006508DC"/>
    <w:rsid w:val="006512B0"/>
    <w:rsid w:val="00651417"/>
    <w:rsid w:val="006515F7"/>
    <w:rsid w:val="006516E6"/>
    <w:rsid w:val="00652390"/>
    <w:rsid w:val="006523D9"/>
    <w:rsid w:val="00652675"/>
    <w:rsid w:val="00652AC6"/>
    <w:rsid w:val="00652CD9"/>
    <w:rsid w:val="00653245"/>
    <w:rsid w:val="0065354C"/>
    <w:rsid w:val="0065426A"/>
    <w:rsid w:val="00654481"/>
    <w:rsid w:val="006547DC"/>
    <w:rsid w:val="0065527D"/>
    <w:rsid w:val="00655ED5"/>
    <w:rsid w:val="006563C6"/>
    <w:rsid w:val="00656922"/>
    <w:rsid w:val="00656E18"/>
    <w:rsid w:val="00656F1F"/>
    <w:rsid w:val="00657057"/>
    <w:rsid w:val="00657511"/>
    <w:rsid w:val="00657FA6"/>
    <w:rsid w:val="0066024E"/>
    <w:rsid w:val="00660F6B"/>
    <w:rsid w:val="00661445"/>
    <w:rsid w:val="006618F7"/>
    <w:rsid w:val="0066202F"/>
    <w:rsid w:val="00662A2C"/>
    <w:rsid w:val="00662B39"/>
    <w:rsid w:val="006638F4"/>
    <w:rsid w:val="0066515E"/>
    <w:rsid w:val="006655D4"/>
    <w:rsid w:val="00666228"/>
    <w:rsid w:val="006662AB"/>
    <w:rsid w:val="006663A6"/>
    <w:rsid w:val="006670C1"/>
    <w:rsid w:val="006670CA"/>
    <w:rsid w:val="00667428"/>
    <w:rsid w:val="00670680"/>
    <w:rsid w:val="00670BD9"/>
    <w:rsid w:val="006718AF"/>
    <w:rsid w:val="00671D80"/>
    <w:rsid w:val="00671E59"/>
    <w:rsid w:val="006737E9"/>
    <w:rsid w:val="00673BCD"/>
    <w:rsid w:val="00673E72"/>
    <w:rsid w:val="00674635"/>
    <w:rsid w:val="00674C6C"/>
    <w:rsid w:val="00674E58"/>
    <w:rsid w:val="006755C2"/>
    <w:rsid w:val="0067662E"/>
    <w:rsid w:val="00676B2C"/>
    <w:rsid w:val="00676D24"/>
    <w:rsid w:val="00677218"/>
    <w:rsid w:val="00677457"/>
    <w:rsid w:val="00677BE8"/>
    <w:rsid w:val="006800BE"/>
    <w:rsid w:val="0068032E"/>
    <w:rsid w:val="00680641"/>
    <w:rsid w:val="0068084A"/>
    <w:rsid w:val="00680ADD"/>
    <w:rsid w:val="00681193"/>
    <w:rsid w:val="006814CD"/>
    <w:rsid w:val="00681773"/>
    <w:rsid w:val="00681B96"/>
    <w:rsid w:val="0068332D"/>
    <w:rsid w:val="0068350C"/>
    <w:rsid w:val="00683968"/>
    <w:rsid w:val="0068458D"/>
    <w:rsid w:val="006849F7"/>
    <w:rsid w:val="00684D2A"/>
    <w:rsid w:val="00684E57"/>
    <w:rsid w:val="006850EC"/>
    <w:rsid w:val="00686FD3"/>
    <w:rsid w:val="006870D8"/>
    <w:rsid w:val="00687636"/>
    <w:rsid w:val="00690393"/>
    <w:rsid w:val="0069056C"/>
    <w:rsid w:val="00690942"/>
    <w:rsid w:val="00690966"/>
    <w:rsid w:val="00690EE1"/>
    <w:rsid w:val="00691EA5"/>
    <w:rsid w:val="006923A6"/>
    <w:rsid w:val="006925D4"/>
    <w:rsid w:val="006929D7"/>
    <w:rsid w:val="00692C0E"/>
    <w:rsid w:val="00693299"/>
    <w:rsid w:val="00693A6B"/>
    <w:rsid w:val="00693AF0"/>
    <w:rsid w:val="00693BA1"/>
    <w:rsid w:val="00693FB8"/>
    <w:rsid w:val="0069469F"/>
    <w:rsid w:val="00694A12"/>
    <w:rsid w:val="00694B70"/>
    <w:rsid w:val="006954E9"/>
    <w:rsid w:val="0069559E"/>
    <w:rsid w:val="0069643B"/>
    <w:rsid w:val="00696493"/>
    <w:rsid w:val="00696922"/>
    <w:rsid w:val="00697353"/>
    <w:rsid w:val="00697EC4"/>
    <w:rsid w:val="006A011A"/>
    <w:rsid w:val="006A12DC"/>
    <w:rsid w:val="006A222D"/>
    <w:rsid w:val="006A23EC"/>
    <w:rsid w:val="006A2AD8"/>
    <w:rsid w:val="006A2F97"/>
    <w:rsid w:val="006A41FA"/>
    <w:rsid w:val="006A48D2"/>
    <w:rsid w:val="006A567B"/>
    <w:rsid w:val="006A5798"/>
    <w:rsid w:val="006A5BCB"/>
    <w:rsid w:val="006A60CD"/>
    <w:rsid w:val="006A6373"/>
    <w:rsid w:val="006A63B6"/>
    <w:rsid w:val="006A6EE4"/>
    <w:rsid w:val="006A74D8"/>
    <w:rsid w:val="006A7888"/>
    <w:rsid w:val="006A7D4A"/>
    <w:rsid w:val="006A7D9A"/>
    <w:rsid w:val="006B0C6C"/>
    <w:rsid w:val="006B18AC"/>
    <w:rsid w:val="006B1FB1"/>
    <w:rsid w:val="006B21FC"/>
    <w:rsid w:val="006B3162"/>
    <w:rsid w:val="006B356A"/>
    <w:rsid w:val="006B374F"/>
    <w:rsid w:val="006B392D"/>
    <w:rsid w:val="006B3B14"/>
    <w:rsid w:val="006B3D50"/>
    <w:rsid w:val="006B45C2"/>
    <w:rsid w:val="006B4AEC"/>
    <w:rsid w:val="006B5629"/>
    <w:rsid w:val="006B5B70"/>
    <w:rsid w:val="006B5FB8"/>
    <w:rsid w:val="006B6677"/>
    <w:rsid w:val="006B6D57"/>
    <w:rsid w:val="006B7519"/>
    <w:rsid w:val="006B7AAB"/>
    <w:rsid w:val="006C1AF3"/>
    <w:rsid w:val="006C2195"/>
    <w:rsid w:val="006C2323"/>
    <w:rsid w:val="006C2686"/>
    <w:rsid w:val="006C26A7"/>
    <w:rsid w:val="006C27B6"/>
    <w:rsid w:val="006C2D1C"/>
    <w:rsid w:val="006C2EB4"/>
    <w:rsid w:val="006C3391"/>
    <w:rsid w:val="006C3A52"/>
    <w:rsid w:val="006C4024"/>
    <w:rsid w:val="006C44E3"/>
    <w:rsid w:val="006C45E9"/>
    <w:rsid w:val="006C50AC"/>
    <w:rsid w:val="006C56FF"/>
    <w:rsid w:val="006C5793"/>
    <w:rsid w:val="006C5CB5"/>
    <w:rsid w:val="006C62C2"/>
    <w:rsid w:val="006C6EC8"/>
    <w:rsid w:val="006C7124"/>
    <w:rsid w:val="006C7AE4"/>
    <w:rsid w:val="006C7EFB"/>
    <w:rsid w:val="006D0C55"/>
    <w:rsid w:val="006D14E6"/>
    <w:rsid w:val="006D2155"/>
    <w:rsid w:val="006D2820"/>
    <w:rsid w:val="006D2A02"/>
    <w:rsid w:val="006D487B"/>
    <w:rsid w:val="006D4A53"/>
    <w:rsid w:val="006D4F5F"/>
    <w:rsid w:val="006D545D"/>
    <w:rsid w:val="006D5714"/>
    <w:rsid w:val="006D5CCC"/>
    <w:rsid w:val="006D61EE"/>
    <w:rsid w:val="006D6600"/>
    <w:rsid w:val="006D702A"/>
    <w:rsid w:val="006D7069"/>
    <w:rsid w:val="006D7263"/>
    <w:rsid w:val="006D7680"/>
    <w:rsid w:val="006E02BD"/>
    <w:rsid w:val="006E0545"/>
    <w:rsid w:val="006E097A"/>
    <w:rsid w:val="006E0B78"/>
    <w:rsid w:val="006E0DAF"/>
    <w:rsid w:val="006E0DC6"/>
    <w:rsid w:val="006E11A8"/>
    <w:rsid w:val="006E17F7"/>
    <w:rsid w:val="006E1CAE"/>
    <w:rsid w:val="006E27B6"/>
    <w:rsid w:val="006E3B8C"/>
    <w:rsid w:val="006E4176"/>
    <w:rsid w:val="006E420C"/>
    <w:rsid w:val="006E48BF"/>
    <w:rsid w:val="006E49CD"/>
    <w:rsid w:val="006E53FC"/>
    <w:rsid w:val="006E57C9"/>
    <w:rsid w:val="006E5AF3"/>
    <w:rsid w:val="006E6211"/>
    <w:rsid w:val="006E62C2"/>
    <w:rsid w:val="006E6C74"/>
    <w:rsid w:val="006E6CDC"/>
    <w:rsid w:val="006F0725"/>
    <w:rsid w:val="006F0EEC"/>
    <w:rsid w:val="006F1D28"/>
    <w:rsid w:val="006F3119"/>
    <w:rsid w:val="006F3304"/>
    <w:rsid w:val="006F36D8"/>
    <w:rsid w:val="006F3840"/>
    <w:rsid w:val="006F3FAE"/>
    <w:rsid w:val="006F42F8"/>
    <w:rsid w:val="006F43B4"/>
    <w:rsid w:val="006F4794"/>
    <w:rsid w:val="006F523F"/>
    <w:rsid w:val="006F55B6"/>
    <w:rsid w:val="006F6A89"/>
    <w:rsid w:val="006F6C57"/>
    <w:rsid w:val="007003D9"/>
    <w:rsid w:val="0070176D"/>
    <w:rsid w:val="00701818"/>
    <w:rsid w:val="0070247E"/>
    <w:rsid w:val="0070275F"/>
    <w:rsid w:val="00702870"/>
    <w:rsid w:val="00702A5F"/>
    <w:rsid w:val="00702D47"/>
    <w:rsid w:val="00703FC4"/>
    <w:rsid w:val="00704267"/>
    <w:rsid w:val="00704A56"/>
    <w:rsid w:val="00704BA0"/>
    <w:rsid w:val="00705811"/>
    <w:rsid w:val="00706459"/>
    <w:rsid w:val="00706B1B"/>
    <w:rsid w:val="0070766B"/>
    <w:rsid w:val="00707E70"/>
    <w:rsid w:val="007105A3"/>
    <w:rsid w:val="00710682"/>
    <w:rsid w:val="007106CB"/>
    <w:rsid w:val="007107CB"/>
    <w:rsid w:val="00710AFE"/>
    <w:rsid w:val="00710BA5"/>
    <w:rsid w:val="00710DBF"/>
    <w:rsid w:val="007118AD"/>
    <w:rsid w:val="00711F56"/>
    <w:rsid w:val="0071202B"/>
    <w:rsid w:val="00712604"/>
    <w:rsid w:val="00712B4C"/>
    <w:rsid w:val="007132B2"/>
    <w:rsid w:val="00713EC2"/>
    <w:rsid w:val="0071426A"/>
    <w:rsid w:val="00715BC6"/>
    <w:rsid w:val="00716A1A"/>
    <w:rsid w:val="00716FFC"/>
    <w:rsid w:val="00717D09"/>
    <w:rsid w:val="0072050B"/>
    <w:rsid w:val="007215B0"/>
    <w:rsid w:val="00722A86"/>
    <w:rsid w:val="00722C21"/>
    <w:rsid w:val="00722D53"/>
    <w:rsid w:val="0072416B"/>
    <w:rsid w:val="007243C9"/>
    <w:rsid w:val="00724FA0"/>
    <w:rsid w:val="00725C40"/>
    <w:rsid w:val="00726180"/>
    <w:rsid w:val="00726439"/>
    <w:rsid w:val="00726679"/>
    <w:rsid w:val="007268C4"/>
    <w:rsid w:val="007270DC"/>
    <w:rsid w:val="0072756E"/>
    <w:rsid w:val="0072788C"/>
    <w:rsid w:val="00727A87"/>
    <w:rsid w:val="00730650"/>
    <w:rsid w:val="00730739"/>
    <w:rsid w:val="00731575"/>
    <w:rsid w:val="00731FA3"/>
    <w:rsid w:val="007325B3"/>
    <w:rsid w:val="00732B36"/>
    <w:rsid w:val="00733801"/>
    <w:rsid w:val="007345C2"/>
    <w:rsid w:val="00734BEF"/>
    <w:rsid w:val="007350CB"/>
    <w:rsid w:val="0073570A"/>
    <w:rsid w:val="00735738"/>
    <w:rsid w:val="00736BAF"/>
    <w:rsid w:val="00736C1E"/>
    <w:rsid w:val="00737044"/>
    <w:rsid w:val="007371E5"/>
    <w:rsid w:val="00737CA0"/>
    <w:rsid w:val="00741CD5"/>
    <w:rsid w:val="00741E76"/>
    <w:rsid w:val="00742206"/>
    <w:rsid w:val="00742982"/>
    <w:rsid w:val="00743082"/>
    <w:rsid w:val="007437F6"/>
    <w:rsid w:val="00743CDC"/>
    <w:rsid w:val="00743E65"/>
    <w:rsid w:val="00743EDC"/>
    <w:rsid w:val="00743F96"/>
    <w:rsid w:val="007440DD"/>
    <w:rsid w:val="00744E02"/>
    <w:rsid w:val="00745DD1"/>
    <w:rsid w:val="007466AF"/>
    <w:rsid w:val="00746939"/>
    <w:rsid w:val="007471F3"/>
    <w:rsid w:val="007472C3"/>
    <w:rsid w:val="007476AE"/>
    <w:rsid w:val="00747DD8"/>
    <w:rsid w:val="00750714"/>
    <w:rsid w:val="007508A4"/>
    <w:rsid w:val="007509D5"/>
    <w:rsid w:val="007512F4"/>
    <w:rsid w:val="0075190D"/>
    <w:rsid w:val="00751FFE"/>
    <w:rsid w:val="00752136"/>
    <w:rsid w:val="00752216"/>
    <w:rsid w:val="0075224A"/>
    <w:rsid w:val="007523EE"/>
    <w:rsid w:val="00753895"/>
    <w:rsid w:val="00753DB5"/>
    <w:rsid w:val="00754537"/>
    <w:rsid w:val="007545FC"/>
    <w:rsid w:val="007555A9"/>
    <w:rsid w:val="00756F9E"/>
    <w:rsid w:val="0075732E"/>
    <w:rsid w:val="00760374"/>
    <w:rsid w:val="007605B7"/>
    <w:rsid w:val="00760B80"/>
    <w:rsid w:val="00760B9E"/>
    <w:rsid w:val="0076119E"/>
    <w:rsid w:val="00762155"/>
    <w:rsid w:val="00762814"/>
    <w:rsid w:val="0076291E"/>
    <w:rsid w:val="00762A8A"/>
    <w:rsid w:val="00762D1C"/>
    <w:rsid w:val="00762E5B"/>
    <w:rsid w:val="007633BC"/>
    <w:rsid w:val="00763576"/>
    <w:rsid w:val="007637C5"/>
    <w:rsid w:val="007637E0"/>
    <w:rsid w:val="00763E93"/>
    <w:rsid w:val="00764B90"/>
    <w:rsid w:val="00764FE4"/>
    <w:rsid w:val="00765591"/>
    <w:rsid w:val="0076585B"/>
    <w:rsid w:val="00765A17"/>
    <w:rsid w:val="00765BC4"/>
    <w:rsid w:val="00766081"/>
    <w:rsid w:val="0076639D"/>
    <w:rsid w:val="00767532"/>
    <w:rsid w:val="00767E1E"/>
    <w:rsid w:val="00770D8C"/>
    <w:rsid w:val="007716F0"/>
    <w:rsid w:val="00771854"/>
    <w:rsid w:val="007718A2"/>
    <w:rsid w:val="00772D74"/>
    <w:rsid w:val="00773331"/>
    <w:rsid w:val="0077338C"/>
    <w:rsid w:val="007734A5"/>
    <w:rsid w:val="00773A09"/>
    <w:rsid w:val="00774136"/>
    <w:rsid w:val="007745A1"/>
    <w:rsid w:val="0077536E"/>
    <w:rsid w:val="00775DD0"/>
    <w:rsid w:val="00776960"/>
    <w:rsid w:val="00780181"/>
    <w:rsid w:val="00780D28"/>
    <w:rsid w:val="00780D38"/>
    <w:rsid w:val="00781FA8"/>
    <w:rsid w:val="00782818"/>
    <w:rsid w:val="00782B4E"/>
    <w:rsid w:val="0078398D"/>
    <w:rsid w:val="00784FA4"/>
    <w:rsid w:val="0078536D"/>
    <w:rsid w:val="007855D0"/>
    <w:rsid w:val="0078573C"/>
    <w:rsid w:val="00785D19"/>
    <w:rsid w:val="00785D6E"/>
    <w:rsid w:val="00786337"/>
    <w:rsid w:val="00786797"/>
    <w:rsid w:val="00786CB9"/>
    <w:rsid w:val="00786F63"/>
    <w:rsid w:val="007871EF"/>
    <w:rsid w:val="007877FC"/>
    <w:rsid w:val="00787F38"/>
    <w:rsid w:val="007900E8"/>
    <w:rsid w:val="0079051A"/>
    <w:rsid w:val="00790E79"/>
    <w:rsid w:val="0079181A"/>
    <w:rsid w:val="00792935"/>
    <w:rsid w:val="00793797"/>
    <w:rsid w:val="00793B89"/>
    <w:rsid w:val="00793C68"/>
    <w:rsid w:val="00793FB2"/>
    <w:rsid w:val="00793FD3"/>
    <w:rsid w:val="00794260"/>
    <w:rsid w:val="007943D9"/>
    <w:rsid w:val="007947A1"/>
    <w:rsid w:val="00794D65"/>
    <w:rsid w:val="0079518D"/>
    <w:rsid w:val="007952A2"/>
    <w:rsid w:val="00795A30"/>
    <w:rsid w:val="00795C46"/>
    <w:rsid w:val="0079636C"/>
    <w:rsid w:val="00796A8E"/>
    <w:rsid w:val="00797645"/>
    <w:rsid w:val="0079786B"/>
    <w:rsid w:val="0079791B"/>
    <w:rsid w:val="00797F22"/>
    <w:rsid w:val="00797FE5"/>
    <w:rsid w:val="007A01CD"/>
    <w:rsid w:val="007A197B"/>
    <w:rsid w:val="007A1A7A"/>
    <w:rsid w:val="007A1F82"/>
    <w:rsid w:val="007A2C37"/>
    <w:rsid w:val="007A2CCA"/>
    <w:rsid w:val="007A371D"/>
    <w:rsid w:val="007A37A7"/>
    <w:rsid w:val="007A3A5C"/>
    <w:rsid w:val="007A3E91"/>
    <w:rsid w:val="007A4C3C"/>
    <w:rsid w:val="007A4D54"/>
    <w:rsid w:val="007A4FD2"/>
    <w:rsid w:val="007A5320"/>
    <w:rsid w:val="007A597F"/>
    <w:rsid w:val="007A603D"/>
    <w:rsid w:val="007A6143"/>
    <w:rsid w:val="007A69AF"/>
    <w:rsid w:val="007A7012"/>
    <w:rsid w:val="007A7585"/>
    <w:rsid w:val="007A7DC9"/>
    <w:rsid w:val="007B0073"/>
    <w:rsid w:val="007B031D"/>
    <w:rsid w:val="007B1754"/>
    <w:rsid w:val="007B2A2C"/>
    <w:rsid w:val="007B2CB0"/>
    <w:rsid w:val="007B3CDC"/>
    <w:rsid w:val="007B3F7E"/>
    <w:rsid w:val="007B4193"/>
    <w:rsid w:val="007B41D7"/>
    <w:rsid w:val="007B43C4"/>
    <w:rsid w:val="007B49A7"/>
    <w:rsid w:val="007B4B95"/>
    <w:rsid w:val="007B52C1"/>
    <w:rsid w:val="007B5747"/>
    <w:rsid w:val="007B5ECE"/>
    <w:rsid w:val="007B610A"/>
    <w:rsid w:val="007B6305"/>
    <w:rsid w:val="007B638B"/>
    <w:rsid w:val="007B6552"/>
    <w:rsid w:val="007B66FC"/>
    <w:rsid w:val="007B6AF2"/>
    <w:rsid w:val="007B7551"/>
    <w:rsid w:val="007B7D0E"/>
    <w:rsid w:val="007C06BE"/>
    <w:rsid w:val="007C1B77"/>
    <w:rsid w:val="007C33FB"/>
    <w:rsid w:val="007C4073"/>
    <w:rsid w:val="007C4134"/>
    <w:rsid w:val="007C43F4"/>
    <w:rsid w:val="007C482D"/>
    <w:rsid w:val="007C4E9B"/>
    <w:rsid w:val="007C5E38"/>
    <w:rsid w:val="007C5F35"/>
    <w:rsid w:val="007C5FAE"/>
    <w:rsid w:val="007C693D"/>
    <w:rsid w:val="007C6BE3"/>
    <w:rsid w:val="007C6E0B"/>
    <w:rsid w:val="007C6EB8"/>
    <w:rsid w:val="007C6FF7"/>
    <w:rsid w:val="007C7616"/>
    <w:rsid w:val="007C7FE8"/>
    <w:rsid w:val="007D02AD"/>
    <w:rsid w:val="007D047D"/>
    <w:rsid w:val="007D080F"/>
    <w:rsid w:val="007D09C4"/>
    <w:rsid w:val="007D1449"/>
    <w:rsid w:val="007D145D"/>
    <w:rsid w:val="007D1625"/>
    <w:rsid w:val="007D27A2"/>
    <w:rsid w:val="007D286E"/>
    <w:rsid w:val="007D2D17"/>
    <w:rsid w:val="007D2D6A"/>
    <w:rsid w:val="007D2D91"/>
    <w:rsid w:val="007D31AC"/>
    <w:rsid w:val="007D4A42"/>
    <w:rsid w:val="007D4DC4"/>
    <w:rsid w:val="007D51B5"/>
    <w:rsid w:val="007D54E9"/>
    <w:rsid w:val="007D5680"/>
    <w:rsid w:val="007D6FD8"/>
    <w:rsid w:val="007D7823"/>
    <w:rsid w:val="007D7F11"/>
    <w:rsid w:val="007E001F"/>
    <w:rsid w:val="007E0C99"/>
    <w:rsid w:val="007E0FA1"/>
    <w:rsid w:val="007E16C2"/>
    <w:rsid w:val="007E1A7A"/>
    <w:rsid w:val="007E1AF4"/>
    <w:rsid w:val="007E1D7E"/>
    <w:rsid w:val="007E1EC6"/>
    <w:rsid w:val="007E20EE"/>
    <w:rsid w:val="007E24BC"/>
    <w:rsid w:val="007E28D8"/>
    <w:rsid w:val="007E3053"/>
    <w:rsid w:val="007E3FB0"/>
    <w:rsid w:val="007E4064"/>
    <w:rsid w:val="007E443D"/>
    <w:rsid w:val="007E5401"/>
    <w:rsid w:val="007E5543"/>
    <w:rsid w:val="007E5DC7"/>
    <w:rsid w:val="007E5DF5"/>
    <w:rsid w:val="007E6B07"/>
    <w:rsid w:val="007E77BC"/>
    <w:rsid w:val="007F1D90"/>
    <w:rsid w:val="007F2529"/>
    <w:rsid w:val="007F2962"/>
    <w:rsid w:val="007F3069"/>
    <w:rsid w:val="007F31FD"/>
    <w:rsid w:val="007F3A36"/>
    <w:rsid w:val="007F3AB1"/>
    <w:rsid w:val="007F3C38"/>
    <w:rsid w:val="007F4656"/>
    <w:rsid w:val="007F5677"/>
    <w:rsid w:val="007F5AAB"/>
    <w:rsid w:val="007F5DEE"/>
    <w:rsid w:val="007F62ED"/>
    <w:rsid w:val="007F687D"/>
    <w:rsid w:val="007F6C09"/>
    <w:rsid w:val="007F73CA"/>
    <w:rsid w:val="007F7881"/>
    <w:rsid w:val="007F7C91"/>
    <w:rsid w:val="007F7F94"/>
    <w:rsid w:val="008005BD"/>
    <w:rsid w:val="00800C4D"/>
    <w:rsid w:val="00801CE5"/>
    <w:rsid w:val="00801E97"/>
    <w:rsid w:val="008027EA"/>
    <w:rsid w:val="00802E0F"/>
    <w:rsid w:val="00803105"/>
    <w:rsid w:val="00804262"/>
    <w:rsid w:val="008042B5"/>
    <w:rsid w:val="00804602"/>
    <w:rsid w:val="00804F50"/>
    <w:rsid w:val="00805B09"/>
    <w:rsid w:val="0080678F"/>
    <w:rsid w:val="008069B3"/>
    <w:rsid w:val="00807D4C"/>
    <w:rsid w:val="00807EB6"/>
    <w:rsid w:val="008104A7"/>
    <w:rsid w:val="008104C0"/>
    <w:rsid w:val="00810B10"/>
    <w:rsid w:val="00810B32"/>
    <w:rsid w:val="00811839"/>
    <w:rsid w:val="00811AFB"/>
    <w:rsid w:val="00811F78"/>
    <w:rsid w:val="008128A9"/>
    <w:rsid w:val="00812A40"/>
    <w:rsid w:val="00812D82"/>
    <w:rsid w:val="00813C6A"/>
    <w:rsid w:val="00813CEE"/>
    <w:rsid w:val="00813F5D"/>
    <w:rsid w:val="008150F5"/>
    <w:rsid w:val="00815860"/>
    <w:rsid w:val="00816345"/>
    <w:rsid w:val="00816960"/>
    <w:rsid w:val="00816F68"/>
    <w:rsid w:val="008170B5"/>
    <w:rsid w:val="0081757A"/>
    <w:rsid w:val="008177B0"/>
    <w:rsid w:val="00817AEB"/>
    <w:rsid w:val="008202ED"/>
    <w:rsid w:val="008209D2"/>
    <w:rsid w:val="00820E08"/>
    <w:rsid w:val="00820E93"/>
    <w:rsid w:val="008215F0"/>
    <w:rsid w:val="00821EA5"/>
    <w:rsid w:val="008237F1"/>
    <w:rsid w:val="00824154"/>
    <w:rsid w:val="008253CB"/>
    <w:rsid w:val="00825D55"/>
    <w:rsid w:val="00825F22"/>
    <w:rsid w:val="0082705D"/>
    <w:rsid w:val="00827635"/>
    <w:rsid w:val="00827923"/>
    <w:rsid w:val="00827FD6"/>
    <w:rsid w:val="0083026D"/>
    <w:rsid w:val="00830416"/>
    <w:rsid w:val="00830933"/>
    <w:rsid w:val="00831409"/>
    <w:rsid w:val="00831C1C"/>
    <w:rsid w:val="00831CB8"/>
    <w:rsid w:val="008327B2"/>
    <w:rsid w:val="008327BA"/>
    <w:rsid w:val="008328ED"/>
    <w:rsid w:val="00833110"/>
    <w:rsid w:val="008338CB"/>
    <w:rsid w:val="0083410E"/>
    <w:rsid w:val="008348A0"/>
    <w:rsid w:val="00834D27"/>
    <w:rsid w:val="0083570B"/>
    <w:rsid w:val="00835C3E"/>
    <w:rsid w:val="00835DB8"/>
    <w:rsid w:val="00835E9C"/>
    <w:rsid w:val="00836810"/>
    <w:rsid w:val="00837048"/>
    <w:rsid w:val="00837B91"/>
    <w:rsid w:val="00837DE9"/>
    <w:rsid w:val="00837EBA"/>
    <w:rsid w:val="00840D39"/>
    <w:rsid w:val="00840EAF"/>
    <w:rsid w:val="00841A35"/>
    <w:rsid w:val="00841A92"/>
    <w:rsid w:val="00841D0E"/>
    <w:rsid w:val="00842686"/>
    <w:rsid w:val="00842BA4"/>
    <w:rsid w:val="008438C5"/>
    <w:rsid w:val="008445D2"/>
    <w:rsid w:val="00845DD8"/>
    <w:rsid w:val="00846594"/>
    <w:rsid w:val="008470F2"/>
    <w:rsid w:val="00847400"/>
    <w:rsid w:val="00847B7F"/>
    <w:rsid w:val="008504A3"/>
    <w:rsid w:val="00850C39"/>
    <w:rsid w:val="00851169"/>
    <w:rsid w:val="00851708"/>
    <w:rsid w:val="008517DF"/>
    <w:rsid w:val="0085182F"/>
    <w:rsid w:val="008526DF"/>
    <w:rsid w:val="00852DC6"/>
    <w:rsid w:val="0085358E"/>
    <w:rsid w:val="00853617"/>
    <w:rsid w:val="008536D5"/>
    <w:rsid w:val="00853C0B"/>
    <w:rsid w:val="00853DA0"/>
    <w:rsid w:val="00854C15"/>
    <w:rsid w:val="00855654"/>
    <w:rsid w:val="00856507"/>
    <w:rsid w:val="008568E7"/>
    <w:rsid w:val="00860607"/>
    <w:rsid w:val="008608DB"/>
    <w:rsid w:val="00860BAD"/>
    <w:rsid w:val="00861194"/>
    <w:rsid w:val="00861318"/>
    <w:rsid w:val="008615CF"/>
    <w:rsid w:val="008617EC"/>
    <w:rsid w:val="00861D8C"/>
    <w:rsid w:val="0086207F"/>
    <w:rsid w:val="00862C55"/>
    <w:rsid w:val="0086330B"/>
    <w:rsid w:val="008634F7"/>
    <w:rsid w:val="00863754"/>
    <w:rsid w:val="00863FC3"/>
    <w:rsid w:val="00863FF9"/>
    <w:rsid w:val="0086418D"/>
    <w:rsid w:val="0086499E"/>
    <w:rsid w:val="00864F7C"/>
    <w:rsid w:val="00865A55"/>
    <w:rsid w:val="00865E2A"/>
    <w:rsid w:val="0086601C"/>
    <w:rsid w:val="00866024"/>
    <w:rsid w:val="008662EB"/>
    <w:rsid w:val="00866E50"/>
    <w:rsid w:val="00867CFD"/>
    <w:rsid w:val="00867F1B"/>
    <w:rsid w:val="00867F4C"/>
    <w:rsid w:val="008707CA"/>
    <w:rsid w:val="00870839"/>
    <w:rsid w:val="00870A2C"/>
    <w:rsid w:val="008714D3"/>
    <w:rsid w:val="00871AEE"/>
    <w:rsid w:val="008729A4"/>
    <w:rsid w:val="00872C4D"/>
    <w:rsid w:val="00872CDE"/>
    <w:rsid w:val="00873161"/>
    <w:rsid w:val="0087370E"/>
    <w:rsid w:val="008737B3"/>
    <w:rsid w:val="00873F0C"/>
    <w:rsid w:val="008752CC"/>
    <w:rsid w:val="00875AB2"/>
    <w:rsid w:val="00876B96"/>
    <w:rsid w:val="00876E4E"/>
    <w:rsid w:val="00880EEC"/>
    <w:rsid w:val="00880F4A"/>
    <w:rsid w:val="0088102E"/>
    <w:rsid w:val="00881BD7"/>
    <w:rsid w:val="008821B7"/>
    <w:rsid w:val="00882514"/>
    <w:rsid w:val="00882577"/>
    <w:rsid w:val="00882A77"/>
    <w:rsid w:val="00884EE2"/>
    <w:rsid w:val="008852EB"/>
    <w:rsid w:val="00885615"/>
    <w:rsid w:val="00887542"/>
    <w:rsid w:val="00890189"/>
    <w:rsid w:val="00891083"/>
    <w:rsid w:val="0089148B"/>
    <w:rsid w:val="0089155E"/>
    <w:rsid w:val="008917CD"/>
    <w:rsid w:val="00891C05"/>
    <w:rsid w:val="00891C38"/>
    <w:rsid w:val="00891C40"/>
    <w:rsid w:val="00892CD6"/>
    <w:rsid w:val="00892F12"/>
    <w:rsid w:val="00892FF5"/>
    <w:rsid w:val="00893150"/>
    <w:rsid w:val="00893D61"/>
    <w:rsid w:val="00894C7C"/>
    <w:rsid w:val="00894E5B"/>
    <w:rsid w:val="0089570C"/>
    <w:rsid w:val="008958EF"/>
    <w:rsid w:val="00895CD0"/>
    <w:rsid w:val="00896ABE"/>
    <w:rsid w:val="00896B3B"/>
    <w:rsid w:val="0089704A"/>
    <w:rsid w:val="00897BEB"/>
    <w:rsid w:val="008A024B"/>
    <w:rsid w:val="008A09F2"/>
    <w:rsid w:val="008A0DB1"/>
    <w:rsid w:val="008A1448"/>
    <w:rsid w:val="008A1A9F"/>
    <w:rsid w:val="008A1D4C"/>
    <w:rsid w:val="008A218B"/>
    <w:rsid w:val="008A2417"/>
    <w:rsid w:val="008A24B5"/>
    <w:rsid w:val="008A311C"/>
    <w:rsid w:val="008A347C"/>
    <w:rsid w:val="008A3612"/>
    <w:rsid w:val="008A3A28"/>
    <w:rsid w:val="008A5159"/>
    <w:rsid w:val="008A5442"/>
    <w:rsid w:val="008A5918"/>
    <w:rsid w:val="008A6393"/>
    <w:rsid w:val="008A6763"/>
    <w:rsid w:val="008A69CF"/>
    <w:rsid w:val="008A6D52"/>
    <w:rsid w:val="008A6E1E"/>
    <w:rsid w:val="008A72A7"/>
    <w:rsid w:val="008A7773"/>
    <w:rsid w:val="008A7976"/>
    <w:rsid w:val="008B089C"/>
    <w:rsid w:val="008B110F"/>
    <w:rsid w:val="008B1A65"/>
    <w:rsid w:val="008B2A7D"/>
    <w:rsid w:val="008B3F40"/>
    <w:rsid w:val="008B4065"/>
    <w:rsid w:val="008B49A6"/>
    <w:rsid w:val="008B505C"/>
    <w:rsid w:val="008B508A"/>
    <w:rsid w:val="008B5AA4"/>
    <w:rsid w:val="008B5CAC"/>
    <w:rsid w:val="008B5D69"/>
    <w:rsid w:val="008B60F4"/>
    <w:rsid w:val="008B7F50"/>
    <w:rsid w:val="008C088C"/>
    <w:rsid w:val="008C08B0"/>
    <w:rsid w:val="008C0D0F"/>
    <w:rsid w:val="008C0D7C"/>
    <w:rsid w:val="008C11F3"/>
    <w:rsid w:val="008C1975"/>
    <w:rsid w:val="008C2178"/>
    <w:rsid w:val="008C2320"/>
    <w:rsid w:val="008C26CB"/>
    <w:rsid w:val="008C2A3E"/>
    <w:rsid w:val="008C2C82"/>
    <w:rsid w:val="008C2F3E"/>
    <w:rsid w:val="008C3ECD"/>
    <w:rsid w:val="008C40B6"/>
    <w:rsid w:val="008C4924"/>
    <w:rsid w:val="008C545C"/>
    <w:rsid w:val="008C59E6"/>
    <w:rsid w:val="008C6134"/>
    <w:rsid w:val="008C6224"/>
    <w:rsid w:val="008C6E68"/>
    <w:rsid w:val="008C6FB2"/>
    <w:rsid w:val="008C712C"/>
    <w:rsid w:val="008C750A"/>
    <w:rsid w:val="008C7D5D"/>
    <w:rsid w:val="008D008C"/>
    <w:rsid w:val="008D063C"/>
    <w:rsid w:val="008D0D7F"/>
    <w:rsid w:val="008D13BB"/>
    <w:rsid w:val="008D253A"/>
    <w:rsid w:val="008D27A3"/>
    <w:rsid w:val="008D29DA"/>
    <w:rsid w:val="008D3E76"/>
    <w:rsid w:val="008D3FD6"/>
    <w:rsid w:val="008D4020"/>
    <w:rsid w:val="008D42DC"/>
    <w:rsid w:val="008D4926"/>
    <w:rsid w:val="008D5F63"/>
    <w:rsid w:val="008D6BE4"/>
    <w:rsid w:val="008D6FE6"/>
    <w:rsid w:val="008D70CD"/>
    <w:rsid w:val="008D7756"/>
    <w:rsid w:val="008E02E8"/>
    <w:rsid w:val="008E043B"/>
    <w:rsid w:val="008E067F"/>
    <w:rsid w:val="008E0899"/>
    <w:rsid w:val="008E228A"/>
    <w:rsid w:val="008E3016"/>
    <w:rsid w:val="008E33B8"/>
    <w:rsid w:val="008E3B55"/>
    <w:rsid w:val="008E41BC"/>
    <w:rsid w:val="008E4C3C"/>
    <w:rsid w:val="008E568F"/>
    <w:rsid w:val="008E604E"/>
    <w:rsid w:val="008E6206"/>
    <w:rsid w:val="008E6247"/>
    <w:rsid w:val="008E690E"/>
    <w:rsid w:val="008E6DA2"/>
    <w:rsid w:val="008E6F45"/>
    <w:rsid w:val="008E6F5B"/>
    <w:rsid w:val="008E7E5A"/>
    <w:rsid w:val="008F0E45"/>
    <w:rsid w:val="008F157F"/>
    <w:rsid w:val="008F18C7"/>
    <w:rsid w:val="008F1A3B"/>
    <w:rsid w:val="008F31B4"/>
    <w:rsid w:val="008F5347"/>
    <w:rsid w:val="008F5F3B"/>
    <w:rsid w:val="008F68D8"/>
    <w:rsid w:val="008F6E10"/>
    <w:rsid w:val="008F782F"/>
    <w:rsid w:val="008F7D63"/>
    <w:rsid w:val="008F7FF6"/>
    <w:rsid w:val="00900345"/>
    <w:rsid w:val="00901322"/>
    <w:rsid w:val="00901B71"/>
    <w:rsid w:val="00902073"/>
    <w:rsid w:val="00902327"/>
    <w:rsid w:val="009023BC"/>
    <w:rsid w:val="009024D8"/>
    <w:rsid w:val="00902CB5"/>
    <w:rsid w:val="00902E32"/>
    <w:rsid w:val="00903991"/>
    <w:rsid w:val="00903E67"/>
    <w:rsid w:val="00904408"/>
    <w:rsid w:val="009044A1"/>
    <w:rsid w:val="009046C3"/>
    <w:rsid w:val="00904B9D"/>
    <w:rsid w:val="00904D03"/>
    <w:rsid w:val="00905BAD"/>
    <w:rsid w:val="00905D1B"/>
    <w:rsid w:val="009065EA"/>
    <w:rsid w:val="00906E7F"/>
    <w:rsid w:val="00907457"/>
    <w:rsid w:val="00907EF1"/>
    <w:rsid w:val="00910934"/>
    <w:rsid w:val="00910D2C"/>
    <w:rsid w:val="00911060"/>
    <w:rsid w:val="0091142B"/>
    <w:rsid w:val="00911439"/>
    <w:rsid w:val="009116C1"/>
    <w:rsid w:val="00911A6C"/>
    <w:rsid w:val="00911C4A"/>
    <w:rsid w:val="00912A15"/>
    <w:rsid w:val="00912F2C"/>
    <w:rsid w:val="0091310C"/>
    <w:rsid w:val="00913357"/>
    <w:rsid w:val="00913397"/>
    <w:rsid w:val="00913FE0"/>
    <w:rsid w:val="009140F9"/>
    <w:rsid w:val="009142EC"/>
    <w:rsid w:val="009143EE"/>
    <w:rsid w:val="00914648"/>
    <w:rsid w:val="0091477B"/>
    <w:rsid w:val="00914E4F"/>
    <w:rsid w:val="00916691"/>
    <w:rsid w:val="00916F37"/>
    <w:rsid w:val="00917205"/>
    <w:rsid w:val="0091730E"/>
    <w:rsid w:val="00917879"/>
    <w:rsid w:val="00917986"/>
    <w:rsid w:val="00917A57"/>
    <w:rsid w:val="009200E1"/>
    <w:rsid w:val="00921AB6"/>
    <w:rsid w:val="00922D23"/>
    <w:rsid w:val="00922E2A"/>
    <w:rsid w:val="00923A55"/>
    <w:rsid w:val="00923DB7"/>
    <w:rsid w:val="009241B5"/>
    <w:rsid w:val="009246F8"/>
    <w:rsid w:val="00924AD4"/>
    <w:rsid w:val="00925067"/>
    <w:rsid w:val="0092522D"/>
    <w:rsid w:val="00925727"/>
    <w:rsid w:val="00926000"/>
    <w:rsid w:val="00926159"/>
    <w:rsid w:val="00926A75"/>
    <w:rsid w:val="00926B67"/>
    <w:rsid w:val="00926FCA"/>
    <w:rsid w:val="009270A4"/>
    <w:rsid w:val="009270F5"/>
    <w:rsid w:val="00927170"/>
    <w:rsid w:val="009271CF"/>
    <w:rsid w:val="009273DD"/>
    <w:rsid w:val="00927503"/>
    <w:rsid w:val="00930477"/>
    <w:rsid w:val="00930CAB"/>
    <w:rsid w:val="00930FF6"/>
    <w:rsid w:val="009313D3"/>
    <w:rsid w:val="00932079"/>
    <w:rsid w:val="009321E6"/>
    <w:rsid w:val="00932EBF"/>
    <w:rsid w:val="00932EC2"/>
    <w:rsid w:val="009333C9"/>
    <w:rsid w:val="00933ECB"/>
    <w:rsid w:val="009354CF"/>
    <w:rsid w:val="00935718"/>
    <w:rsid w:val="00935E59"/>
    <w:rsid w:val="00940801"/>
    <w:rsid w:val="00940BF9"/>
    <w:rsid w:val="00941456"/>
    <w:rsid w:val="00941ED8"/>
    <w:rsid w:val="0094237F"/>
    <w:rsid w:val="0094264C"/>
    <w:rsid w:val="00942736"/>
    <w:rsid w:val="00942A91"/>
    <w:rsid w:val="00942FD2"/>
    <w:rsid w:val="00943EB3"/>
    <w:rsid w:val="00943F43"/>
    <w:rsid w:val="009446F6"/>
    <w:rsid w:val="00944F20"/>
    <w:rsid w:val="009458FF"/>
    <w:rsid w:val="00945AAE"/>
    <w:rsid w:val="00945B37"/>
    <w:rsid w:val="00946A04"/>
    <w:rsid w:val="00946C3B"/>
    <w:rsid w:val="00946D7F"/>
    <w:rsid w:val="00946FFD"/>
    <w:rsid w:val="009477BC"/>
    <w:rsid w:val="009477F6"/>
    <w:rsid w:val="00951776"/>
    <w:rsid w:val="00952BD1"/>
    <w:rsid w:val="00952FCA"/>
    <w:rsid w:val="00953599"/>
    <w:rsid w:val="009538A3"/>
    <w:rsid w:val="00953DEE"/>
    <w:rsid w:val="0095401B"/>
    <w:rsid w:val="0095491A"/>
    <w:rsid w:val="00954C65"/>
    <w:rsid w:val="00954EF6"/>
    <w:rsid w:val="00954F77"/>
    <w:rsid w:val="00956759"/>
    <w:rsid w:val="0095677B"/>
    <w:rsid w:val="00957832"/>
    <w:rsid w:val="00957A83"/>
    <w:rsid w:val="00957D0F"/>
    <w:rsid w:val="0096072F"/>
    <w:rsid w:val="00960730"/>
    <w:rsid w:val="00960A13"/>
    <w:rsid w:val="009616F6"/>
    <w:rsid w:val="00962420"/>
    <w:rsid w:val="00963703"/>
    <w:rsid w:val="00963DC5"/>
    <w:rsid w:val="0096495D"/>
    <w:rsid w:val="00965573"/>
    <w:rsid w:val="00965AFE"/>
    <w:rsid w:val="009662F5"/>
    <w:rsid w:val="009664BB"/>
    <w:rsid w:val="009706C3"/>
    <w:rsid w:val="00970EB5"/>
    <w:rsid w:val="009710B4"/>
    <w:rsid w:val="00971CC7"/>
    <w:rsid w:val="00971DA7"/>
    <w:rsid w:val="00971F0B"/>
    <w:rsid w:val="009728F1"/>
    <w:rsid w:val="00972D94"/>
    <w:rsid w:val="00973882"/>
    <w:rsid w:val="00973A2F"/>
    <w:rsid w:val="0097456F"/>
    <w:rsid w:val="009759BC"/>
    <w:rsid w:val="00975AF4"/>
    <w:rsid w:val="00975BDE"/>
    <w:rsid w:val="00975CAF"/>
    <w:rsid w:val="00976A69"/>
    <w:rsid w:val="00976DA6"/>
    <w:rsid w:val="00976DA7"/>
    <w:rsid w:val="00977967"/>
    <w:rsid w:val="009779A7"/>
    <w:rsid w:val="0098030E"/>
    <w:rsid w:val="009808DE"/>
    <w:rsid w:val="00980E0E"/>
    <w:rsid w:val="009815F9"/>
    <w:rsid w:val="00981714"/>
    <w:rsid w:val="00981A4E"/>
    <w:rsid w:val="00981B88"/>
    <w:rsid w:val="00981F5B"/>
    <w:rsid w:val="00982DAE"/>
    <w:rsid w:val="00982E77"/>
    <w:rsid w:val="00983538"/>
    <w:rsid w:val="00983A1F"/>
    <w:rsid w:val="00983B16"/>
    <w:rsid w:val="009841F3"/>
    <w:rsid w:val="009848A7"/>
    <w:rsid w:val="00984FF4"/>
    <w:rsid w:val="00985291"/>
    <w:rsid w:val="00985C99"/>
    <w:rsid w:val="00985F69"/>
    <w:rsid w:val="009867ED"/>
    <w:rsid w:val="009869F5"/>
    <w:rsid w:val="009873E4"/>
    <w:rsid w:val="00987569"/>
    <w:rsid w:val="009879B3"/>
    <w:rsid w:val="009909B3"/>
    <w:rsid w:val="00990D4E"/>
    <w:rsid w:val="00990EEF"/>
    <w:rsid w:val="00991027"/>
    <w:rsid w:val="00991250"/>
    <w:rsid w:val="00991450"/>
    <w:rsid w:val="00992076"/>
    <w:rsid w:val="00992334"/>
    <w:rsid w:val="00993303"/>
    <w:rsid w:val="00993E9C"/>
    <w:rsid w:val="009944E8"/>
    <w:rsid w:val="009945AC"/>
    <w:rsid w:val="00995167"/>
    <w:rsid w:val="009953D1"/>
    <w:rsid w:val="0099564E"/>
    <w:rsid w:val="00995D83"/>
    <w:rsid w:val="0099624D"/>
    <w:rsid w:val="009962C2"/>
    <w:rsid w:val="009962C4"/>
    <w:rsid w:val="00996401"/>
    <w:rsid w:val="00996AB8"/>
    <w:rsid w:val="009972BE"/>
    <w:rsid w:val="009973C8"/>
    <w:rsid w:val="00997B4F"/>
    <w:rsid w:val="00997F08"/>
    <w:rsid w:val="009A0D85"/>
    <w:rsid w:val="009A0E90"/>
    <w:rsid w:val="009A2AD3"/>
    <w:rsid w:val="009A2E53"/>
    <w:rsid w:val="009A30CE"/>
    <w:rsid w:val="009A34EE"/>
    <w:rsid w:val="009A3A89"/>
    <w:rsid w:val="009A41F9"/>
    <w:rsid w:val="009A4E87"/>
    <w:rsid w:val="009A51DD"/>
    <w:rsid w:val="009A542E"/>
    <w:rsid w:val="009A5983"/>
    <w:rsid w:val="009A5AF4"/>
    <w:rsid w:val="009A6596"/>
    <w:rsid w:val="009A677F"/>
    <w:rsid w:val="009A693F"/>
    <w:rsid w:val="009A6B8E"/>
    <w:rsid w:val="009A6D7D"/>
    <w:rsid w:val="009A74C0"/>
    <w:rsid w:val="009A7794"/>
    <w:rsid w:val="009B0199"/>
    <w:rsid w:val="009B0688"/>
    <w:rsid w:val="009B0B1F"/>
    <w:rsid w:val="009B1153"/>
    <w:rsid w:val="009B11B3"/>
    <w:rsid w:val="009B1623"/>
    <w:rsid w:val="009B1B20"/>
    <w:rsid w:val="009B2CE3"/>
    <w:rsid w:val="009B37D5"/>
    <w:rsid w:val="009B4563"/>
    <w:rsid w:val="009B4809"/>
    <w:rsid w:val="009B4884"/>
    <w:rsid w:val="009B488D"/>
    <w:rsid w:val="009B4B56"/>
    <w:rsid w:val="009B4E53"/>
    <w:rsid w:val="009B55D8"/>
    <w:rsid w:val="009B5D42"/>
    <w:rsid w:val="009B65AD"/>
    <w:rsid w:val="009B6F5D"/>
    <w:rsid w:val="009B6F89"/>
    <w:rsid w:val="009B71BE"/>
    <w:rsid w:val="009B759F"/>
    <w:rsid w:val="009B7BC0"/>
    <w:rsid w:val="009C0AA5"/>
    <w:rsid w:val="009C0C80"/>
    <w:rsid w:val="009C0F3F"/>
    <w:rsid w:val="009C2084"/>
    <w:rsid w:val="009C28F8"/>
    <w:rsid w:val="009C2D61"/>
    <w:rsid w:val="009C2EA2"/>
    <w:rsid w:val="009C30A9"/>
    <w:rsid w:val="009C31F7"/>
    <w:rsid w:val="009C3614"/>
    <w:rsid w:val="009C3EEE"/>
    <w:rsid w:val="009C4137"/>
    <w:rsid w:val="009C4209"/>
    <w:rsid w:val="009C68C6"/>
    <w:rsid w:val="009C7DFE"/>
    <w:rsid w:val="009D0185"/>
    <w:rsid w:val="009D0380"/>
    <w:rsid w:val="009D06B2"/>
    <w:rsid w:val="009D1157"/>
    <w:rsid w:val="009D123A"/>
    <w:rsid w:val="009D17A5"/>
    <w:rsid w:val="009D1CB7"/>
    <w:rsid w:val="009D1F81"/>
    <w:rsid w:val="009D235A"/>
    <w:rsid w:val="009D3062"/>
    <w:rsid w:val="009D3726"/>
    <w:rsid w:val="009D3A7D"/>
    <w:rsid w:val="009D407B"/>
    <w:rsid w:val="009D43B5"/>
    <w:rsid w:val="009D4556"/>
    <w:rsid w:val="009D4558"/>
    <w:rsid w:val="009D525E"/>
    <w:rsid w:val="009D53B6"/>
    <w:rsid w:val="009D5679"/>
    <w:rsid w:val="009D629B"/>
    <w:rsid w:val="009D6A64"/>
    <w:rsid w:val="009D6D16"/>
    <w:rsid w:val="009D74C8"/>
    <w:rsid w:val="009D769D"/>
    <w:rsid w:val="009E025D"/>
    <w:rsid w:val="009E1826"/>
    <w:rsid w:val="009E2387"/>
    <w:rsid w:val="009E2586"/>
    <w:rsid w:val="009E2CF2"/>
    <w:rsid w:val="009E2F6A"/>
    <w:rsid w:val="009E33C8"/>
    <w:rsid w:val="009E3B64"/>
    <w:rsid w:val="009E42FB"/>
    <w:rsid w:val="009E480A"/>
    <w:rsid w:val="009E53E3"/>
    <w:rsid w:val="009E59E1"/>
    <w:rsid w:val="009E5B88"/>
    <w:rsid w:val="009E5BD0"/>
    <w:rsid w:val="009E606A"/>
    <w:rsid w:val="009E618B"/>
    <w:rsid w:val="009E6D79"/>
    <w:rsid w:val="009E735F"/>
    <w:rsid w:val="009E752A"/>
    <w:rsid w:val="009E79E5"/>
    <w:rsid w:val="009F0630"/>
    <w:rsid w:val="009F10BB"/>
    <w:rsid w:val="009F1CB3"/>
    <w:rsid w:val="009F1FF3"/>
    <w:rsid w:val="009F2245"/>
    <w:rsid w:val="009F2B85"/>
    <w:rsid w:val="009F35EB"/>
    <w:rsid w:val="009F373B"/>
    <w:rsid w:val="009F3FF1"/>
    <w:rsid w:val="009F4F77"/>
    <w:rsid w:val="009F5049"/>
    <w:rsid w:val="009F5A00"/>
    <w:rsid w:val="009F5BF3"/>
    <w:rsid w:val="009F6638"/>
    <w:rsid w:val="009F67D2"/>
    <w:rsid w:val="009F6B88"/>
    <w:rsid w:val="009F6CD8"/>
    <w:rsid w:val="009F7AAC"/>
    <w:rsid w:val="00A00119"/>
    <w:rsid w:val="00A00353"/>
    <w:rsid w:val="00A010D3"/>
    <w:rsid w:val="00A01196"/>
    <w:rsid w:val="00A0141E"/>
    <w:rsid w:val="00A01631"/>
    <w:rsid w:val="00A01856"/>
    <w:rsid w:val="00A01BF0"/>
    <w:rsid w:val="00A01D92"/>
    <w:rsid w:val="00A01FAD"/>
    <w:rsid w:val="00A023D4"/>
    <w:rsid w:val="00A024DB"/>
    <w:rsid w:val="00A02D6C"/>
    <w:rsid w:val="00A030AE"/>
    <w:rsid w:val="00A031A9"/>
    <w:rsid w:val="00A03B03"/>
    <w:rsid w:val="00A0407D"/>
    <w:rsid w:val="00A040CB"/>
    <w:rsid w:val="00A046D4"/>
    <w:rsid w:val="00A04812"/>
    <w:rsid w:val="00A04EB0"/>
    <w:rsid w:val="00A07610"/>
    <w:rsid w:val="00A07F44"/>
    <w:rsid w:val="00A10026"/>
    <w:rsid w:val="00A1041D"/>
    <w:rsid w:val="00A113EE"/>
    <w:rsid w:val="00A11ACD"/>
    <w:rsid w:val="00A12353"/>
    <w:rsid w:val="00A12F74"/>
    <w:rsid w:val="00A130C0"/>
    <w:rsid w:val="00A142F6"/>
    <w:rsid w:val="00A147CE"/>
    <w:rsid w:val="00A1555E"/>
    <w:rsid w:val="00A169E4"/>
    <w:rsid w:val="00A16B56"/>
    <w:rsid w:val="00A1737F"/>
    <w:rsid w:val="00A175C4"/>
    <w:rsid w:val="00A2012B"/>
    <w:rsid w:val="00A2012F"/>
    <w:rsid w:val="00A208C8"/>
    <w:rsid w:val="00A20A1B"/>
    <w:rsid w:val="00A20DD5"/>
    <w:rsid w:val="00A20E92"/>
    <w:rsid w:val="00A210A9"/>
    <w:rsid w:val="00A21393"/>
    <w:rsid w:val="00A217DD"/>
    <w:rsid w:val="00A21D2A"/>
    <w:rsid w:val="00A220A3"/>
    <w:rsid w:val="00A22593"/>
    <w:rsid w:val="00A22F3B"/>
    <w:rsid w:val="00A2310F"/>
    <w:rsid w:val="00A23B26"/>
    <w:rsid w:val="00A25222"/>
    <w:rsid w:val="00A2681E"/>
    <w:rsid w:val="00A26AD8"/>
    <w:rsid w:val="00A3001E"/>
    <w:rsid w:val="00A303EB"/>
    <w:rsid w:val="00A305FE"/>
    <w:rsid w:val="00A30807"/>
    <w:rsid w:val="00A3095B"/>
    <w:rsid w:val="00A310FF"/>
    <w:rsid w:val="00A315A5"/>
    <w:rsid w:val="00A31920"/>
    <w:rsid w:val="00A31BBD"/>
    <w:rsid w:val="00A32109"/>
    <w:rsid w:val="00A335BC"/>
    <w:rsid w:val="00A338B8"/>
    <w:rsid w:val="00A34FBB"/>
    <w:rsid w:val="00A35150"/>
    <w:rsid w:val="00A3582B"/>
    <w:rsid w:val="00A35F6F"/>
    <w:rsid w:val="00A36744"/>
    <w:rsid w:val="00A368D8"/>
    <w:rsid w:val="00A36A42"/>
    <w:rsid w:val="00A3748E"/>
    <w:rsid w:val="00A37C90"/>
    <w:rsid w:val="00A37E8E"/>
    <w:rsid w:val="00A4005D"/>
    <w:rsid w:val="00A40471"/>
    <w:rsid w:val="00A40A25"/>
    <w:rsid w:val="00A40A27"/>
    <w:rsid w:val="00A40B59"/>
    <w:rsid w:val="00A40EDA"/>
    <w:rsid w:val="00A410A2"/>
    <w:rsid w:val="00A418A2"/>
    <w:rsid w:val="00A4200A"/>
    <w:rsid w:val="00A4245F"/>
    <w:rsid w:val="00A42BE6"/>
    <w:rsid w:val="00A432B5"/>
    <w:rsid w:val="00A4407D"/>
    <w:rsid w:val="00A446EE"/>
    <w:rsid w:val="00A447B9"/>
    <w:rsid w:val="00A44CB4"/>
    <w:rsid w:val="00A45764"/>
    <w:rsid w:val="00A45A0C"/>
    <w:rsid w:val="00A45EFC"/>
    <w:rsid w:val="00A467C1"/>
    <w:rsid w:val="00A46808"/>
    <w:rsid w:val="00A46D38"/>
    <w:rsid w:val="00A47281"/>
    <w:rsid w:val="00A47D34"/>
    <w:rsid w:val="00A502CE"/>
    <w:rsid w:val="00A50D20"/>
    <w:rsid w:val="00A51A01"/>
    <w:rsid w:val="00A51C66"/>
    <w:rsid w:val="00A52E6B"/>
    <w:rsid w:val="00A54089"/>
    <w:rsid w:val="00A541B8"/>
    <w:rsid w:val="00A54895"/>
    <w:rsid w:val="00A54DBA"/>
    <w:rsid w:val="00A54E4E"/>
    <w:rsid w:val="00A5504E"/>
    <w:rsid w:val="00A5516B"/>
    <w:rsid w:val="00A55181"/>
    <w:rsid w:val="00A5674D"/>
    <w:rsid w:val="00A57391"/>
    <w:rsid w:val="00A600F6"/>
    <w:rsid w:val="00A60CDB"/>
    <w:rsid w:val="00A60D6C"/>
    <w:rsid w:val="00A61913"/>
    <w:rsid w:val="00A62ADD"/>
    <w:rsid w:val="00A63339"/>
    <w:rsid w:val="00A63445"/>
    <w:rsid w:val="00A63637"/>
    <w:rsid w:val="00A63F0E"/>
    <w:rsid w:val="00A64077"/>
    <w:rsid w:val="00A646AB"/>
    <w:rsid w:val="00A64C35"/>
    <w:rsid w:val="00A64DF3"/>
    <w:rsid w:val="00A656B4"/>
    <w:rsid w:val="00A65D6F"/>
    <w:rsid w:val="00A6607B"/>
    <w:rsid w:val="00A662E9"/>
    <w:rsid w:val="00A667E2"/>
    <w:rsid w:val="00A66C2D"/>
    <w:rsid w:val="00A66D3E"/>
    <w:rsid w:val="00A66FEE"/>
    <w:rsid w:val="00A67F09"/>
    <w:rsid w:val="00A70776"/>
    <w:rsid w:val="00A70B53"/>
    <w:rsid w:val="00A713E3"/>
    <w:rsid w:val="00A7168D"/>
    <w:rsid w:val="00A71B06"/>
    <w:rsid w:val="00A72028"/>
    <w:rsid w:val="00A74B1F"/>
    <w:rsid w:val="00A7501A"/>
    <w:rsid w:val="00A756C9"/>
    <w:rsid w:val="00A76639"/>
    <w:rsid w:val="00A77E71"/>
    <w:rsid w:val="00A8006C"/>
    <w:rsid w:val="00A803E1"/>
    <w:rsid w:val="00A81590"/>
    <w:rsid w:val="00A8291D"/>
    <w:rsid w:val="00A83791"/>
    <w:rsid w:val="00A837B1"/>
    <w:rsid w:val="00A83821"/>
    <w:rsid w:val="00A8395F"/>
    <w:rsid w:val="00A83E4D"/>
    <w:rsid w:val="00A845E7"/>
    <w:rsid w:val="00A8461F"/>
    <w:rsid w:val="00A84883"/>
    <w:rsid w:val="00A84E32"/>
    <w:rsid w:val="00A8540D"/>
    <w:rsid w:val="00A856ED"/>
    <w:rsid w:val="00A85975"/>
    <w:rsid w:val="00A85CB6"/>
    <w:rsid w:val="00A85EAA"/>
    <w:rsid w:val="00A85FC5"/>
    <w:rsid w:val="00A86F76"/>
    <w:rsid w:val="00A87045"/>
    <w:rsid w:val="00A87644"/>
    <w:rsid w:val="00A902C5"/>
    <w:rsid w:val="00A90C9B"/>
    <w:rsid w:val="00A90EC2"/>
    <w:rsid w:val="00A91003"/>
    <w:rsid w:val="00A91391"/>
    <w:rsid w:val="00A91E82"/>
    <w:rsid w:val="00A92002"/>
    <w:rsid w:val="00A929B2"/>
    <w:rsid w:val="00A932C9"/>
    <w:rsid w:val="00A933EE"/>
    <w:rsid w:val="00A93501"/>
    <w:rsid w:val="00A94FD3"/>
    <w:rsid w:val="00A95B3D"/>
    <w:rsid w:val="00A95C4E"/>
    <w:rsid w:val="00A964D2"/>
    <w:rsid w:val="00A96767"/>
    <w:rsid w:val="00A9685C"/>
    <w:rsid w:val="00A96D93"/>
    <w:rsid w:val="00A97249"/>
    <w:rsid w:val="00A9736C"/>
    <w:rsid w:val="00A978B4"/>
    <w:rsid w:val="00A97AF4"/>
    <w:rsid w:val="00AA0411"/>
    <w:rsid w:val="00AA07A5"/>
    <w:rsid w:val="00AA1A45"/>
    <w:rsid w:val="00AA2275"/>
    <w:rsid w:val="00AA30FF"/>
    <w:rsid w:val="00AA3359"/>
    <w:rsid w:val="00AA3469"/>
    <w:rsid w:val="00AA4B87"/>
    <w:rsid w:val="00AA4EB7"/>
    <w:rsid w:val="00AA575C"/>
    <w:rsid w:val="00AA5C1E"/>
    <w:rsid w:val="00AA6308"/>
    <w:rsid w:val="00AA6C5A"/>
    <w:rsid w:val="00AA6EFF"/>
    <w:rsid w:val="00AA70E4"/>
    <w:rsid w:val="00AA7968"/>
    <w:rsid w:val="00AA7D21"/>
    <w:rsid w:val="00AB063A"/>
    <w:rsid w:val="00AB0AC3"/>
    <w:rsid w:val="00AB0E36"/>
    <w:rsid w:val="00AB0EF0"/>
    <w:rsid w:val="00AB175C"/>
    <w:rsid w:val="00AB211C"/>
    <w:rsid w:val="00AB237C"/>
    <w:rsid w:val="00AB33D3"/>
    <w:rsid w:val="00AB343A"/>
    <w:rsid w:val="00AB3BD1"/>
    <w:rsid w:val="00AB42D1"/>
    <w:rsid w:val="00AB56B4"/>
    <w:rsid w:val="00AB5F0F"/>
    <w:rsid w:val="00AB6499"/>
    <w:rsid w:val="00AB70B4"/>
    <w:rsid w:val="00AB73BF"/>
    <w:rsid w:val="00AB742E"/>
    <w:rsid w:val="00AB78F1"/>
    <w:rsid w:val="00AB7CE8"/>
    <w:rsid w:val="00AB7D13"/>
    <w:rsid w:val="00AB7EF6"/>
    <w:rsid w:val="00AC0021"/>
    <w:rsid w:val="00AC01E9"/>
    <w:rsid w:val="00AC0390"/>
    <w:rsid w:val="00AC04EE"/>
    <w:rsid w:val="00AC0802"/>
    <w:rsid w:val="00AC1C75"/>
    <w:rsid w:val="00AC24AB"/>
    <w:rsid w:val="00AC2C58"/>
    <w:rsid w:val="00AC3081"/>
    <w:rsid w:val="00AC38DA"/>
    <w:rsid w:val="00AC4174"/>
    <w:rsid w:val="00AC47A5"/>
    <w:rsid w:val="00AC49A7"/>
    <w:rsid w:val="00AC50DE"/>
    <w:rsid w:val="00AC5AD7"/>
    <w:rsid w:val="00AC618C"/>
    <w:rsid w:val="00AC6579"/>
    <w:rsid w:val="00AC6909"/>
    <w:rsid w:val="00AD05CE"/>
    <w:rsid w:val="00AD0E15"/>
    <w:rsid w:val="00AD0EE5"/>
    <w:rsid w:val="00AD1E39"/>
    <w:rsid w:val="00AD210A"/>
    <w:rsid w:val="00AD21EA"/>
    <w:rsid w:val="00AD2B32"/>
    <w:rsid w:val="00AD4232"/>
    <w:rsid w:val="00AD4CA6"/>
    <w:rsid w:val="00AD4DFA"/>
    <w:rsid w:val="00AD5CA1"/>
    <w:rsid w:val="00AD6CE0"/>
    <w:rsid w:val="00AD7088"/>
    <w:rsid w:val="00AD74A5"/>
    <w:rsid w:val="00AE0145"/>
    <w:rsid w:val="00AE01A9"/>
    <w:rsid w:val="00AE02FE"/>
    <w:rsid w:val="00AE136E"/>
    <w:rsid w:val="00AE2035"/>
    <w:rsid w:val="00AE2E9C"/>
    <w:rsid w:val="00AE2F05"/>
    <w:rsid w:val="00AE3102"/>
    <w:rsid w:val="00AE31E3"/>
    <w:rsid w:val="00AE3489"/>
    <w:rsid w:val="00AE3C64"/>
    <w:rsid w:val="00AE4132"/>
    <w:rsid w:val="00AE46D2"/>
    <w:rsid w:val="00AE4AD9"/>
    <w:rsid w:val="00AE5898"/>
    <w:rsid w:val="00AE58C8"/>
    <w:rsid w:val="00AE5DC6"/>
    <w:rsid w:val="00AE6CED"/>
    <w:rsid w:val="00AE730D"/>
    <w:rsid w:val="00AE75AF"/>
    <w:rsid w:val="00AF0425"/>
    <w:rsid w:val="00AF0706"/>
    <w:rsid w:val="00AF26EF"/>
    <w:rsid w:val="00AF2F10"/>
    <w:rsid w:val="00AF33D1"/>
    <w:rsid w:val="00AF3F4D"/>
    <w:rsid w:val="00AF4166"/>
    <w:rsid w:val="00AF4B6B"/>
    <w:rsid w:val="00AF4E09"/>
    <w:rsid w:val="00AF5EA8"/>
    <w:rsid w:val="00AF6801"/>
    <w:rsid w:val="00AF70B8"/>
    <w:rsid w:val="00AF78F9"/>
    <w:rsid w:val="00AF7C0A"/>
    <w:rsid w:val="00B004CC"/>
    <w:rsid w:val="00B005D7"/>
    <w:rsid w:val="00B00D16"/>
    <w:rsid w:val="00B00FDF"/>
    <w:rsid w:val="00B01795"/>
    <w:rsid w:val="00B01D58"/>
    <w:rsid w:val="00B01E3A"/>
    <w:rsid w:val="00B041DF"/>
    <w:rsid w:val="00B0420A"/>
    <w:rsid w:val="00B04458"/>
    <w:rsid w:val="00B051AC"/>
    <w:rsid w:val="00B051B3"/>
    <w:rsid w:val="00B0522B"/>
    <w:rsid w:val="00B05713"/>
    <w:rsid w:val="00B057C4"/>
    <w:rsid w:val="00B064A4"/>
    <w:rsid w:val="00B0684E"/>
    <w:rsid w:val="00B069D5"/>
    <w:rsid w:val="00B06BBE"/>
    <w:rsid w:val="00B06F36"/>
    <w:rsid w:val="00B07AB5"/>
    <w:rsid w:val="00B07F98"/>
    <w:rsid w:val="00B07FB9"/>
    <w:rsid w:val="00B103C1"/>
    <w:rsid w:val="00B1054A"/>
    <w:rsid w:val="00B10BF0"/>
    <w:rsid w:val="00B10D5C"/>
    <w:rsid w:val="00B11593"/>
    <w:rsid w:val="00B121A9"/>
    <w:rsid w:val="00B12BC4"/>
    <w:rsid w:val="00B13628"/>
    <w:rsid w:val="00B137AE"/>
    <w:rsid w:val="00B139DF"/>
    <w:rsid w:val="00B147D4"/>
    <w:rsid w:val="00B14D62"/>
    <w:rsid w:val="00B15159"/>
    <w:rsid w:val="00B15542"/>
    <w:rsid w:val="00B157E3"/>
    <w:rsid w:val="00B16E97"/>
    <w:rsid w:val="00B1769A"/>
    <w:rsid w:val="00B17B20"/>
    <w:rsid w:val="00B17D4B"/>
    <w:rsid w:val="00B2077D"/>
    <w:rsid w:val="00B20F8D"/>
    <w:rsid w:val="00B21537"/>
    <w:rsid w:val="00B21AB6"/>
    <w:rsid w:val="00B221D7"/>
    <w:rsid w:val="00B2291B"/>
    <w:rsid w:val="00B22926"/>
    <w:rsid w:val="00B22B7D"/>
    <w:rsid w:val="00B22F6A"/>
    <w:rsid w:val="00B2348C"/>
    <w:rsid w:val="00B23825"/>
    <w:rsid w:val="00B2382B"/>
    <w:rsid w:val="00B23ED5"/>
    <w:rsid w:val="00B23F0E"/>
    <w:rsid w:val="00B2422C"/>
    <w:rsid w:val="00B246DA"/>
    <w:rsid w:val="00B24802"/>
    <w:rsid w:val="00B248CA"/>
    <w:rsid w:val="00B24A8F"/>
    <w:rsid w:val="00B24C2F"/>
    <w:rsid w:val="00B24EB3"/>
    <w:rsid w:val="00B24FA6"/>
    <w:rsid w:val="00B252E4"/>
    <w:rsid w:val="00B25378"/>
    <w:rsid w:val="00B25534"/>
    <w:rsid w:val="00B25986"/>
    <w:rsid w:val="00B25BE5"/>
    <w:rsid w:val="00B25F09"/>
    <w:rsid w:val="00B26EE4"/>
    <w:rsid w:val="00B26F0C"/>
    <w:rsid w:val="00B27656"/>
    <w:rsid w:val="00B27909"/>
    <w:rsid w:val="00B27A3D"/>
    <w:rsid w:val="00B32199"/>
    <w:rsid w:val="00B32934"/>
    <w:rsid w:val="00B32CA9"/>
    <w:rsid w:val="00B33168"/>
    <w:rsid w:val="00B33384"/>
    <w:rsid w:val="00B3358F"/>
    <w:rsid w:val="00B335BC"/>
    <w:rsid w:val="00B337F0"/>
    <w:rsid w:val="00B34069"/>
    <w:rsid w:val="00B340CB"/>
    <w:rsid w:val="00B351DE"/>
    <w:rsid w:val="00B35425"/>
    <w:rsid w:val="00B35E73"/>
    <w:rsid w:val="00B35F2A"/>
    <w:rsid w:val="00B3746B"/>
    <w:rsid w:val="00B37BD3"/>
    <w:rsid w:val="00B37C30"/>
    <w:rsid w:val="00B40473"/>
    <w:rsid w:val="00B4106E"/>
    <w:rsid w:val="00B411CC"/>
    <w:rsid w:val="00B41395"/>
    <w:rsid w:val="00B413A8"/>
    <w:rsid w:val="00B413BE"/>
    <w:rsid w:val="00B41561"/>
    <w:rsid w:val="00B41A95"/>
    <w:rsid w:val="00B4212A"/>
    <w:rsid w:val="00B42378"/>
    <w:rsid w:val="00B42ADE"/>
    <w:rsid w:val="00B42E35"/>
    <w:rsid w:val="00B432C6"/>
    <w:rsid w:val="00B436A3"/>
    <w:rsid w:val="00B438F4"/>
    <w:rsid w:val="00B43ABC"/>
    <w:rsid w:val="00B43AD2"/>
    <w:rsid w:val="00B43CF2"/>
    <w:rsid w:val="00B43D09"/>
    <w:rsid w:val="00B441D4"/>
    <w:rsid w:val="00B443D8"/>
    <w:rsid w:val="00B44F6D"/>
    <w:rsid w:val="00B4526D"/>
    <w:rsid w:val="00B45CDF"/>
    <w:rsid w:val="00B462EB"/>
    <w:rsid w:val="00B468AB"/>
    <w:rsid w:val="00B476B2"/>
    <w:rsid w:val="00B504BB"/>
    <w:rsid w:val="00B50716"/>
    <w:rsid w:val="00B52127"/>
    <w:rsid w:val="00B5313A"/>
    <w:rsid w:val="00B549F2"/>
    <w:rsid w:val="00B54C32"/>
    <w:rsid w:val="00B5503B"/>
    <w:rsid w:val="00B55388"/>
    <w:rsid w:val="00B5566B"/>
    <w:rsid w:val="00B557B7"/>
    <w:rsid w:val="00B558D4"/>
    <w:rsid w:val="00B55C40"/>
    <w:rsid w:val="00B55CAD"/>
    <w:rsid w:val="00B56840"/>
    <w:rsid w:val="00B56C57"/>
    <w:rsid w:val="00B56DD1"/>
    <w:rsid w:val="00B57087"/>
    <w:rsid w:val="00B57938"/>
    <w:rsid w:val="00B57A85"/>
    <w:rsid w:val="00B600E5"/>
    <w:rsid w:val="00B601AC"/>
    <w:rsid w:val="00B60DFA"/>
    <w:rsid w:val="00B612D1"/>
    <w:rsid w:val="00B6138B"/>
    <w:rsid w:val="00B6247A"/>
    <w:rsid w:val="00B62ADA"/>
    <w:rsid w:val="00B62CEA"/>
    <w:rsid w:val="00B62D1C"/>
    <w:rsid w:val="00B62E42"/>
    <w:rsid w:val="00B63C3D"/>
    <w:rsid w:val="00B65150"/>
    <w:rsid w:val="00B651E4"/>
    <w:rsid w:val="00B665CA"/>
    <w:rsid w:val="00B667C9"/>
    <w:rsid w:val="00B668DA"/>
    <w:rsid w:val="00B66DCF"/>
    <w:rsid w:val="00B6732B"/>
    <w:rsid w:val="00B6737A"/>
    <w:rsid w:val="00B6765F"/>
    <w:rsid w:val="00B67BF9"/>
    <w:rsid w:val="00B67EC5"/>
    <w:rsid w:val="00B70017"/>
    <w:rsid w:val="00B70618"/>
    <w:rsid w:val="00B70D46"/>
    <w:rsid w:val="00B70E11"/>
    <w:rsid w:val="00B722A8"/>
    <w:rsid w:val="00B72354"/>
    <w:rsid w:val="00B723ED"/>
    <w:rsid w:val="00B72985"/>
    <w:rsid w:val="00B732ED"/>
    <w:rsid w:val="00B73604"/>
    <w:rsid w:val="00B748F3"/>
    <w:rsid w:val="00B75A3A"/>
    <w:rsid w:val="00B75CEC"/>
    <w:rsid w:val="00B75E5A"/>
    <w:rsid w:val="00B761AE"/>
    <w:rsid w:val="00B76524"/>
    <w:rsid w:val="00B76DF7"/>
    <w:rsid w:val="00B77272"/>
    <w:rsid w:val="00B77425"/>
    <w:rsid w:val="00B81EAF"/>
    <w:rsid w:val="00B82248"/>
    <w:rsid w:val="00B8224D"/>
    <w:rsid w:val="00B82369"/>
    <w:rsid w:val="00B82857"/>
    <w:rsid w:val="00B832A9"/>
    <w:rsid w:val="00B836FE"/>
    <w:rsid w:val="00B8396B"/>
    <w:rsid w:val="00B85F66"/>
    <w:rsid w:val="00B866E6"/>
    <w:rsid w:val="00B869DA"/>
    <w:rsid w:val="00B870CD"/>
    <w:rsid w:val="00B87445"/>
    <w:rsid w:val="00B903D8"/>
    <w:rsid w:val="00B92007"/>
    <w:rsid w:val="00B9214A"/>
    <w:rsid w:val="00B926AC"/>
    <w:rsid w:val="00B92E8B"/>
    <w:rsid w:val="00B9382A"/>
    <w:rsid w:val="00B93FC4"/>
    <w:rsid w:val="00B942CF"/>
    <w:rsid w:val="00B95295"/>
    <w:rsid w:val="00B953FB"/>
    <w:rsid w:val="00B9569C"/>
    <w:rsid w:val="00B957A7"/>
    <w:rsid w:val="00B957C7"/>
    <w:rsid w:val="00B95A76"/>
    <w:rsid w:val="00B95E2D"/>
    <w:rsid w:val="00B9620E"/>
    <w:rsid w:val="00B96BBB"/>
    <w:rsid w:val="00B970BA"/>
    <w:rsid w:val="00B97AF6"/>
    <w:rsid w:val="00B97E8A"/>
    <w:rsid w:val="00BA0571"/>
    <w:rsid w:val="00BA0788"/>
    <w:rsid w:val="00BA114A"/>
    <w:rsid w:val="00BA134D"/>
    <w:rsid w:val="00BA1937"/>
    <w:rsid w:val="00BA222E"/>
    <w:rsid w:val="00BA23A6"/>
    <w:rsid w:val="00BA28A4"/>
    <w:rsid w:val="00BA2C92"/>
    <w:rsid w:val="00BA2D26"/>
    <w:rsid w:val="00BA3C48"/>
    <w:rsid w:val="00BA3C8D"/>
    <w:rsid w:val="00BA40F6"/>
    <w:rsid w:val="00BA441D"/>
    <w:rsid w:val="00BA4703"/>
    <w:rsid w:val="00BA6694"/>
    <w:rsid w:val="00BA6745"/>
    <w:rsid w:val="00BA72B0"/>
    <w:rsid w:val="00BA731A"/>
    <w:rsid w:val="00BA7C34"/>
    <w:rsid w:val="00BB083A"/>
    <w:rsid w:val="00BB0CF4"/>
    <w:rsid w:val="00BB1141"/>
    <w:rsid w:val="00BB1CDA"/>
    <w:rsid w:val="00BB2171"/>
    <w:rsid w:val="00BB25DE"/>
    <w:rsid w:val="00BB2D9D"/>
    <w:rsid w:val="00BB2EDA"/>
    <w:rsid w:val="00BB463B"/>
    <w:rsid w:val="00BB4C00"/>
    <w:rsid w:val="00BB53A5"/>
    <w:rsid w:val="00BB53FA"/>
    <w:rsid w:val="00BB6011"/>
    <w:rsid w:val="00BB647A"/>
    <w:rsid w:val="00BB68AB"/>
    <w:rsid w:val="00BB6DE8"/>
    <w:rsid w:val="00BB7E8F"/>
    <w:rsid w:val="00BC0612"/>
    <w:rsid w:val="00BC0DF9"/>
    <w:rsid w:val="00BC1658"/>
    <w:rsid w:val="00BC254F"/>
    <w:rsid w:val="00BC2998"/>
    <w:rsid w:val="00BC352C"/>
    <w:rsid w:val="00BC37B4"/>
    <w:rsid w:val="00BC3E33"/>
    <w:rsid w:val="00BC4417"/>
    <w:rsid w:val="00BC551C"/>
    <w:rsid w:val="00BC5ADA"/>
    <w:rsid w:val="00BC6089"/>
    <w:rsid w:val="00BC6184"/>
    <w:rsid w:val="00BC6C8B"/>
    <w:rsid w:val="00BC6F9F"/>
    <w:rsid w:val="00BC7C3E"/>
    <w:rsid w:val="00BD00C9"/>
    <w:rsid w:val="00BD0273"/>
    <w:rsid w:val="00BD077C"/>
    <w:rsid w:val="00BD0873"/>
    <w:rsid w:val="00BD1036"/>
    <w:rsid w:val="00BD10B2"/>
    <w:rsid w:val="00BD18A2"/>
    <w:rsid w:val="00BD2733"/>
    <w:rsid w:val="00BD2857"/>
    <w:rsid w:val="00BD29FB"/>
    <w:rsid w:val="00BD2B46"/>
    <w:rsid w:val="00BD2CE1"/>
    <w:rsid w:val="00BD2FB7"/>
    <w:rsid w:val="00BD3BFE"/>
    <w:rsid w:val="00BD40A9"/>
    <w:rsid w:val="00BD41FF"/>
    <w:rsid w:val="00BD47B8"/>
    <w:rsid w:val="00BD4E17"/>
    <w:rsid w:val="00BD6096"/>
    <w:rsid w:val="00BD60DE"/>
    <w:rsid w:val="00BD667D"/>
    <w:rsid w:val="00BD67B5"/>
    <w:rsid w:val="00BE03FD"/>
    <w:rsid w:val="00BE040B"/>
    <w:rsid w:val="00BE0932"/>
    <w:rsid w:val="00BE1774"/>
    <w:rsid w:val="00BE1775"/>
    <w:rsid w:val="00BE1C6D"/>
    <w:rsid w:val="00BE2579"/>
    <w:rsid w:val="00BE32AB"/>
    <w:rsid w:val="00BE33A4"/>
    <w:rsid w:val="00BE3862"/>
    <w:rsid w:val="00BE4B52"/>
    <w:rsid w:val="00BE5418"/>
    <w:rsid w:val="00BE6099"/>
    <w:rsid w:val="00BE636A"/>
    <w:rsid w:val="00BE66A7"/>
    <w:rsid w:val="00BE6727"/>
    <w:rsid w:val="00BE6809"/>
    <w:rsid w:val="00BE6D93"/>
    <w:rsid w:val="00BF03A1"/>
    <w:rsid w:val="00BF0D1D"/>
    <w:rsid w:val="00BF14D0"/>
    <w:rsid w:val="00BF18E4"/>
    <w:rsid w:val="00BF1B29"/>
    <w:rsid w:val="00BF1B98"/>
    <w:rsid w:val="00BF2013"/>
    <w:rsid w:val="00BF2AD6"/>
    <w:rsid w:val="00BF2C43"/>
    <w:rsid w:val="00BF33A3"/>
    <w:rsid w:val="00BF3465"/>
    <w:rsid w:val="00BF392A"/>
    <w:rsid w:val="00BF3C7B"/>
    <w:rsid w:val="00BF438D"/>
    <w:rsid w:val="00BF47B4"/>
    <w:rsid w:val="00BF48A5"/>
    <w:rsid w:val="00BF4D14"/>
    <w:rsid w:val="00BF6E5A"/>
    <w:rsid w:val="00BF7716"/>
    <w:rsid w:val="00C00517"/>
    <w:rsid w:val="00C01151"/>
    <w:rsid w:val="00C018AB"/>
    <w:rsid w:val="00C01EED"/>
    <w:rsid w:val="00C01F60"/>
    <w:rsid w:val="00C02893"/>
    <w:rsid w:val="00C02A70"/>
    <w:rsid w:val="00C033C1"/>
    <w:rsid w:val="00C0342E"/>
    <w:rsid w:val="00C0393D"/>
    <w:rsid w:val="00C04500"/>
    <w:rsid w:val="00C056F0"/>
    <w:rsid w:val="00C05887"/>
    <w:rsid w:val="00C069B6"/>
    <w:rsid w:val="00C07507"/>
    <w:rsid w:val="00C07758"/>
    <w:rsid w:val="00C07B26"/>
    <w:rsid w:val="00C10B9B"/>
    <w:rsid w:val="00C112A1"/>
    <w:rsid w:val="00C1195C"/>
    <w:rsid w:val="00C12053"/>
    <w:rsid w:val="00C12F95"/>
    <w:rsid w:val="00C144EB"/>
    <w:rsid w:val="00C154FA"/>
    <w:rsid w:val="00C15E41"/>
    <w:rsid w:val="00C165EC"/>
    <w:rsid w:val="00C166F1"/>
    <w:rsid w:val="00C16D5C"/>
    <w:rsid w:val="00C20F8E"/>
    <w:rsid w:val="00C21019"/>
    <w:rsid w:val="00C21192"/>
    <w:rsid w:val="00C212F7"/>
    <w:rsid w:val="00C23E68"/>
    <w:rsid w:val="00C253DD"/>
    <w:rsid w:val="00C25957"/>
    <w:rsid w:val="00C259F1"/>
    <w:rsid w:val="00C265AA"/>
    <w:rsid w:val="00C26F64"/>
    <w:rsid w:val="00C27B9A"/>
    <w:rsid w:val="00C27EBE"/>
    <w:rsid w:val="00C303C4"/>
    <w:rsid w:val="00C30416"/>
    <w:rsid w:val="00C30590"/>
    <w:rsid w:val="00C30B0D"/>
    <w:rsid w:val="00C30BC5"/>
    <w:rsid w:val="00C31F5B"/>
    <w:rsid w:val="00C32B3F"/>
    <w:rsid w:val="00C32C4A"/>
    <w:rsid w:val="00C3303B"/>
    <w:rsid w:val="00C33434"/>
    <w:rsid w:val="00C334C5"/>
    <w:rsid w:val="00C33666"/>
    <w:rsid w:val="00C33B61"/>
    <w:rsid w:val="00C33C00"/>
    <w:rsid w:val="00C340BB"/>
    <w:rsid w:val="00C34301"/>
    <w:rsid w:val="00C34315"/>
    <w:rsid w:val="00C34894"/>
    <w:rsid w:val="00C35404"/>
    <w:rsid w:val="00C364E1"/>
    <w:rsid w:val="00C365DE"/>
    <w:rsid w:val="00C36A7A"/>
    <w:rsid w:val="00C37271"/>
    <w:rsid w:val="00C40827"/>
    <w:rsid w:val="00C40C8A"/>
    <w:rsid w:val="00C41A13"/>
    <w:rsid w:val="00C41EBE"/>
    <w:rsid w:val="00C4264B"/>
    <w:rsid w:val="00C42C2B"/>
    <w:rsid w:val="00C435C0"/>
    <w:rsid w:val="00C43A34"/>
    <w:rsid w:val="00C43DC7"/>
    <w:rsid w:val="00C45ACF"/>
    <w:rsid w:val="00C45B97"/>
    <w:rsid w:val="00C45FC4"/>
    <w:rsid w:val="00C46750"/>
    <w:rsid w:val="00C46C58"/>
    <w:rsid w:val="00C46C66"/>
    <w:rsid w:val="00C46E56"/>
    <w:rsid w:val="00C47362"/>
    <w:rsid w:val="00C47660"/>
    <w:rsid w:val="00C5079B"/>
    <w:rsid w:val="00C508F2"/>
    <w:rsid w:val="00C50BF0"/>
    <w:rsid w:val="00C50EAA"/>
    <w:rsid w:val="00C51AC2"/>
    <w:rsid w:val="00C5289B"/>
    <w:rsid w:val="00C52CA6"/>
    <w:rsid w:val="00C530A9"/>
    <w:rsid w:val="00C53F39"/>
    <w:rsid w:val="00C540AC"/>
    <w:rsid w:val="00C5428C"/>
    <w:rsid w:val="00C542EA"/>
    <w:rsid w:val="00C556EC"/>
    <w:rsid w:val="00C5603C"/>
    <w:rsid w:val="00C571F4"/>
    <w:rsid w:val="00C57509"/>
    <w:rsid w:val="00C60337"/>
    <w:rsid w:val="00C607B0"/>
    <w:rsid w:val="00C6099D"/>
    <w:rsid w:val="00C61FE1"/>
    <w:rsid w:val="00C620CE"/>
    <w:rsid w:val="00C62813"/>
    <w:rsid w:val="00C62B79"/>
    <w:rsid w:val="00C62F18"/>
    <w:rsid w:val="00C63925"/>
    <w:rsid w:val="00C64314"/>
    <w:rsid w:val="00C644D4"/>
    <w:rsid w:val="00C64A96"/>
    <w:rsid w:val="00C652D3"/>
    <w:rsid w:val="00C66C9D"/>
    <w:rsid w:val="00C66CEA"/>
    <w:rsid w:val="00C66FA2"/>
    <w:rsid w:val="00C6729C"/>
    <w:rsid w:val="00C67720"/>
    <w:rsid w:val="00C67A21"/>
    <w:rsid w:val="00C703C7"/>
    <w:rsid w:val="00C70668"/>
    <w:rsid w:val="00C70CFD"/>
    <w:rsid w:val="00C72489"/>
    <w:rsid w:val="00C727CF"/>
    <w:rsid w:val="00C72E17"/>
    <w:rsid w:val="00C72E5E"/>
    <w:rsid w:val="00C72EA1"/>
    <w:rsid w:val="00C73872"/>
    <w:rsid w:val="00C73EB3"/>
    <w:rsid w:val="00C747BA"/>
    <w:rsid w:val="00C748EF"/>
    <w:rsid w:val="00C74E60"/>
    <w:rsid w:val="00C75FE5"/>
    <w:rsid w:val="00C76092"/>
    <w:rsid w:val="00C77063"/>
    <w:rsid w:val="00C7794A"/>
    <w:rsid w:val="00C77CCA"/>
    <w:rsid w:val="00C800B3"/>
    <w:rsid w:val="00C808F8"/>
    <w:rsid w:val="00C8118F"/>
    <w:rsid w:val="00C8195A"/>
    <w:rsid w:val="00C822E5"/>
    <w:rsid w:val="00C82639"/>
    <w:rsid w:val="00C82AC5"/>
    <w:rsid w:val="00C82B0D"/>
    <w:rsid w:val="00C845BF"/>
    <w:rsid w:val="00C855B5"/>
    <w:rsid w:val="00C8677D"/>
    <w:rsid w:val="00C86C0C"/>
    <w:rsid w:val="00C86E28"/>
    <w:rsid w:val="00C8757A"/>
    <w:rsid w:val="00C87C04"/>
    <w:rsid w:val="00C9028C"/>
    <w:rsid w:val="00C90344"/>
    <w:rsid w:val="00C9090E"/>
    <w:rsid w:val="00C9225A"/>
    <w:rsid w:val="00C9238B"/>
    <w:rsid w:val="00C92717"/>
    <w:rsid w:val="00C93296"/>
    <w:rsid w:val="00C94328"/>
    <w:rsid w:val="00C9466C"/>
    <w:rsid w:val="00C946D8"/>
    <w:rsid w:val="00C94D17"/>
    <w:rsid w:val="00C950FD"/>
    <w:rsid w:val="00C955BD"/>
    <w:rsid w:val="00C95BBB"/>
    <w:rsid w:val="00C960E2"/>
    <w:rsid w:val="00C964F4"/>
    <w:rsid w:val="00CA0232"/>
    <w:rsid w:val="00CA032A"/>
    <w:rsid w:val="00CA0CB6"/>
    <w:rsid w:val="00CA13E6"/>
    <w:rsid w:val="00CA210C"/>
    <w:rsid w:val="00CA3F00"/>
    <w:rsid w:val="00CA41F7"/>
    <w:rsid w:val="00CA42BA"/>
    <w:rsid w:val="00CA563B"/>
    <w:rsid w:val="00CA5A2A"/>
    <w:rsid w:val="00CA6389"/>
    <w:rsid w:val="00CA65C4"/>
    <w:rsid w:val="00CA6A8A"/>
    <w:rsid w:val="00CA6CF9"/>
    <w:rsid w:val="00CA6ECF"/>
    <w:rsid w:val="00CA7252"/>
    <w:rsid w:val="00CA77BD"/>
    <w:rsid w:val="00CA7F9B"/>
    <w:rsid w:val="00CB011B"/>
    <w:rsid w:val="00CB0666"/>
    <w:rsid w:val="00CB0A18"/>
    <w:rsid w:val="00CB0C78"/>
    <w:rsid w:val="00CB0F17"/>
    <w:rsid w:val="00CB2657"/>
    <w:rsid w:val="00CB2C92"/>
    <w:rsid w:val="00CB33B7"/>
    <w:rsid w:val="00CB505F"/>
    <w:rsid w:val="00CB5341"/>
    <w:rsid w:val="00CB75A2"/>
    <w:rsid w:val="00CB78BD"/>
    <w:rsid w:val="00CB7B63"/>
    <w:rsid w:val="00CB7E32"/>
    <w:rsid w:val="00CB7FC6"/>
    <w:rsid w:val="00CC00B9"/>
    <w:rsid w:val="00CC0214"/>
    <w:rsid w:val="00CC0CC4"/>
    <w:rsid w:val="00CC0DF4"/>
    <w:rsid w:val="00CC1B3E"/>
    <w:rsid w:val="00CC2793"/>
    <w:rsid w:val="00CC28F5"/>
    <w:rsid w:val="00CC295D"/>
    <w:rsid w:val="00CC2D04"/>
    <w:rsid w:val="00CC46A4"/>
    <w:rsid w:val="00CC50A7"/>
    <w:rsid w:val="00CC5179"/>
    <w:rsid w:val="00CC5227"/>
    <w:rsid w:val="00CC53F4"/>
    <w:rsid w:val="00CC5930"/>
    <w:rsid w:val="00CC5C51"/>
    <w:rsid w:val="00CC6020"/>
    <w:rsid w:val="00CC627F"/>
    <w:rsid w:val="00CC706E"/>
    <w:rsid w:val="00CC71C4"/>
    <w:rsid w:val="00CC74EC"/>
    <w:rsid w:val="00CC78C0"/>
    <w:rsid w:val="00CD0667"/>
    <w:rsid w:val="00CD0DD4"/>
    <w:rsid w:val="00CD1687"/>
    <w:rsid w:val="00CD2A99"/>
    <w:rsid w:val="00CD3279"/>
    <w:rsid w:val="00CD3820"/>
    <w:rsid w:val="00CD3AD2"/>
    <w:rsid w:val="00CD3EF4"/>
    <w:rsid w:val="00CD4314"/>
    <w:rsid w:val="00CD43B1"/>
    <w:rsid w:val="00CD44A6"/>
    <w:rsid w:val="00CD454B"/>
    <w:rsid w:val="00CD4970"/>
    <w:rsid w:val="00CD537D"/>
    <w:rsid w:val="00CD6767"/>
    <w:rsid w:val="00CD7B4E"/>
    <w:rsid w:val="00CD7BBC"/>
    <w:rsid w:val="00CE0E0D"/>
    <w:rsid w:val="00CE16A6"/>
    <w:rsid w:val="00CE4924"/>
    <w:rsid w:val="00CE5005"/>
    <w:rsid w:val="00CE5EB8"/>
    <w:rsid w:val="00CE76FC"/>
    <w:rsid w:val="00CF0127"/>
    <w:rsid w:val="00CF0515"/>
    <w:rsid w:val="00CF05B2"/>
    <w:rsid w:val="00CF101F"/>
    <w:rsid w:val="00CF1144"/>
    <w:rsid w:val="00CF1290"/>
    <w:rsid w:val="00CF1BD9"/>
    <w:rsid w:val="00CF1FB0"/>
    <w:rsid w:val="00CF1FDF"/>
    <w:rsid w:val="00CF2129"/>
    <w:rsid w:val="00CF2651"/>
    <w:rsid w:val="00CF2AE5"/>
    <w:rsid w:val="00CF435B"/>
    <w:rsid w:val="00CF5137"/>
    <w:rsid w:val="00CF55DF"/>
    <w:rsid w:val="00CF579F"/>
    <w:rsid w:val="00CF5DF8"/>
    <w:rsid w:val="00CF627A"/>
    <w:rsid w:val="00CF69A5"/>
    <w:rsid w:val="00CF69E4"/>
    <w:rsid w:val="00D00A2A"/>
    <w:rsid w:val="00D00FF9"/>
    <w:rsid w:val="00D01F50"/>
    <w:rsid w:val="00D02548"/>
    <w:rsid w:val="00D02F80"/>
    <w:rsid w:val="00D0307A"/>
    <w:rsid w:val="00D03139"/>
    <w:rsid w:val="00D03CE0"/>
    <w:rsid w:val="00D056B8"/>
    <w:rsid w:val="00D05840"/>
    <w:rsid w:val="00D10926"/>
    <w:rsid w:val="00D11162"/>
    <w:rsid w:val="00D11518"/>
    <w:rsid w:val="00D11C7B"/>
    <w:rsid w:val="00D1262A"/>
    <w:rsid w:val="00D127B2"/>
    <w:rsid w:val="00D12EB7"/>
    <w:rsid w:val="00D1310C"/>
    <w:rsid w:val="00D13B08"/>
    <w:rsid w:val="00D14D62"/>
    <w:rsid w:val="00D153FC"/>
    <w:rsid w:val="00D15BCE"/>
    <w:rsid w:val="00D15E3D"/>
    <w:rsid w:val="00D16786"/>
    <w:rsid w:val="00D16CE2"/>
    <w:rsid w:val="00D17446"/>
    <w:rsid w:val="00D17738"/>
    <w:rsid w:val="00D17BB2"/>
    <w:rsid w:val="00D17E52"/>
    <w:rsid w:val="00D203F3"/>
    <w:rsid w:val="00D208C9"/>
    <w:rsid w:val="00D208E8"/>
    <w:rsid w:val="00D20B8A"/>
    <w:rsid w:val="00D21911"/>
    <w:rsid w:val="00D21BC9"/>
    <w:rsid w:val="00D21E2A"/>
    <w:rsid w:val="00D21FE3"/>
    <w:rsid w:val="00D22790"/>
    <w:rsid w:val="00D22B39"/>
    <w:rsid w:val="00D22EDD"/>
    <w:rsid w:val="00D22F1E"/>
    <w:rsid w:val="00D23423"/>
    <w:rsid w:val="00D23CAB"/>
    <w:rsid w:val="00D23DFF"/>
    <w:rsid w:val="00D23F9A"/>
    <w:rsid w:val="00D240AF"/>
    <w:rsid w:val="00D241F3"/>
    <w:rsid w:val="00D24686"/>
    <w:rsid w:val="00D24C03"/>
    <w:rsid w:val="00D24EEE"/>
    <w:rsid w:val="00D24F53"/>
    <w:rsid w:val="00D2536E"/>
    <w:rsid w:val="00D25AEC"/>
    <w:rsid w:val="00D267CA"/>
    <w:rsid w:val="00D26B2D"/>
    <w:rsid w:val="00D2797E"/>
    <w:rsid w:val="00D307A5"/>
    <w:rsid w:val="00D30842"/>
    <w:rsid w:val="00D30973"/>
    <w:rsid w:val="00D31471"/>
    <w:rsid w:val="00D31FEA"/>
    <w:rsid w:val="00D32447"/>
    <w:rsid w:val="00D325E0"/>
    <w:rsid w:val="00D326BF"/>
    <w:rsid w:val="00D32A66"/>
    <w:rsid w:val="00D33133"/>
    <w:rsid w:val="00D331B2"/>
    <w:rsid w:val="00D33296"/>
    <w:rsid w:val="00D340C3"/>
    <w:rsid w:val="00D3423B"/>
    <w:rsid w:val="00D345B0"/>
    <w:rsid w:val="00D345E9"/>
    <w:rsid w:val="00D3479F"/>
    <w:rsid w:val="00D34AE2"/>
    <w:rsid w:val="00D34CF0"/>
    <w:rsid w:val="00D34DDD"/>
    <w:rsid w:val="00D34F6B"/>
    <w:rsid w:val="00D3591D"/>
    <w:rsid w:val="00D35DD4"/>
    <w:rsid w:val="00D360ED"/>
    <w:rsid w:val="00D363E4"/>
    <w:rsid w:val="00D36B7C"/>
    <w:rsid w:val="00D36E44"/>
    <w:rsid w:val="00D379C3"/>
    <w:rsid w:val="00D37B92"/>
    <w:rsid w:val="00D40109"/>
    <w:rsid w:val="00D409EB"/>
    <w:rsid w:val="00D4113D"/>
    <w:rsid w:val="00D41164"/>
    <w:rsid w:val="00D41750"/>
    <w:rsid w:val="00D41B29"/>
    <w:rsid w:val="00D42F41"/>
    <w:rsid w:val="00D4315B"/>
    <w:rsid w:val="00D43872"/>
    <w:rsid w:val="00D439A2"/>
    <w:rsid w:val="00D4480D"/>
    <w:rsid w:val="00D44A8B"/>
    <w:rsid w:val="00D44B13"/>
    <w:rsid w:val="00D44E12"/>
    <w:rsid w:val="00D45082"/>
    <w:rsid w:val="00D453F7"/>
    <w:rsid w:val="00D4622E"/>
    <w:rsid w:val="00D47BAF"/>
    <w:rsid w:val="00D504D8"/>
    <w:rsid w:val="00D509E2"/>
    <w:rsid w:val="00D50E9C"/>
    <w:rsid w:val="00D513C9"/>
    <w:rsid w:val="00D51702"/>
    <w:rsid w:val="00D51CF1"/>
    <w:rsid w:val="00D532E5"/>
    <w:rsid w:val="00D534B4"/>
    <w:rsid w:val="00D53645"/>
    <w:rsid w:val="00D53E73"/>
    <w:rsid w:val="00D5510A"/>
    <w:rsid w:val="00D55164"/>
    <w:rsid w:val="00D55217"/>
    <w:rsid w:val="00D552DE"/>
    <w:rsid w:val="00D57405"/>
    <w:rsid w:val="00D5741C"/>
    <w:rsid w:val="00D578BC"/>
    <w:rsid w:val="00D5798C"/>
    <w:rsid w:val="00D57E6B"/>
    <w:rsid w:val="00D603BD"/>
    <w:rsid w:val="00D609DB"/>
    <w:rsid w:val="00D6135F"/>
    <w:rsid w:val="00D614F8"/>
    <w:rsid w:val="00D61896"/>
    <w:rsid w:val="00D62033"/>
    <w:rsid w:val="00D6212A"/>
    <w:rsid w:val="00D62384"/>
    <w:rsid w:val="00D62641"/>
    <w:rsid w:val="00D6308A"/>
    <w:rsid w:val="00D6357C"/>
    <w:rsid w:val="00D63934"/>
    <w:rsid w:val="00D64749"/>
    <w:rsid w:val="00D64991"/>
    <w:rsid w:val="00D65129"/>
    <w:rsid w:val="00D660E6"/>
    <w:rsid w:val="00D661AA"/>
    <w:rsid w:val="00D663B7"/>
    <w:rsid w:val="00D6651C"/>
    <w:rsid w:val="00D66865"/>
    <w:rsid w:val="00D66985"/>
    <w:rsid w:val="00D66C80"/>
    <w:rsid w:val="00D66F2D"/>
    <w:rsid w:val="00D67110"/>
    <w:rsid w:val="00D67554"/>
    <w:rsid w:val="00D67889"/>
    <w:rsid w:val="00D67AE3"/>
    <w:rsid w:val="00D67B67"/>
    <w:rsid w:val="00D700B2"/>
    <w:rsid w:val="00D7053D"/>
    <w:rsid w:val="00D70D84"/>
    <w:rsid w:val="00D70D89"/>
    <w:rsid w:val="00D71212"/>
    <w:rsid w:val="00D71405"/>
    <w:rsid w:val="00D726D9"/>
    <w:rsid w:val="00D72B3D"/>
    <w:rsid w:val="00D72D78"/>
    <w:rsid w:val="00D7434C"/>
    <w:rsid w:val="00D74531"/>
    <w:rsid w:val="00D746EE"/>
    <w:rsid w:val="00D756BA"/>
    <w:rsid w:val="00D75EB9"/>
    <w:rsid w:val="00D76939"/>
    <w:rsid w:val="00D76A7A"/>
    <w:rsid w:val="00D77166"/>
    <w:rsid w:val="00D774BD"/>
    <w:rsid w:val="00D77664"/>
    <w:rsid w:val="00D8005D"/>
    <w:rsid w:val="00D801F1"/>
    <w:rsid w:val="00D8080C"/>
    <w:rsid w:val="00D80987"/>
    <w:rsid w:val="00D80D8E"/>
    <w:rsid w:val="00D8148E"/>
    <w:rsid w:val="00D8162F"/>
    <w:rsid w:val="00D828B8"/>
    <w:rsid w:val="00D829CB"/>
    <w:rsid w:val="00D82ABC"/>
    <w:rsid w:val="00D82B08"/>
    <w:rsid w:val="00D82F12"/>
    <w:rsid w:val="00D83D80"/>
    <w:rsid w:val="00D844B8"/>
    <w:rsid w:val="00D84B53"/>
    <w:rsid w:val="00D850E0"/>
    <w:rsid w:val="00D85590"/>
    <w:rsid w:val="00D855E7"/>
    <w:rsid w:val="00D856EB"/>
    <w:rsid w:val="00D85C72"/>
    <w:rsid w:val="00D90F31"/>
    <w:rsid w:val="00D91328"/>
    <w:rsid w:val="00D91708"/>
    <w:rsid w:val="00D92C53"/>
    <w:rsid w:val="00D92F70"/>
    <w:rsid w:val="00D931AF"/>
    <w:rsid w:val="00D93C4F"/>
    <w:rsid w:val="00D940E8"/>
    <w:rsid w:val="00D944AD"/>
    <w:rsid w:val="00D949FB"/>
    <w:rsid w:val="00D94A23"/>
    <w:rsid w:val="00D94A7E"/>
    <w:rsid w:val="00D94BB0"/>
    <w:rsid w:val="00D94FAC"/>
    <w:rsid w:val="00D9525E"/>
    <w:rsid w:val="00D96081"/>
    <w:rsid w:val="00D96D32"/>
    <w:rsid w:val="00D97070"/>
    <w:rsid w:val="00DA010F"/>
    <w:rsid w:val="00DA0905"/>
    <w:rsid w:val="00DA0C30"/>
    <w:rsid w:val="00DA14B6"/>
    <w:rsid w:val="00DA2359"/>
    <w:rsid w:val="00DA2630"/>
    <w:rsid w:val="00DA2A25"/>
    <w:rsid w:val="00DA2EF6"/>
    <w:rsid w:val="00DA3560"/>
    <w:rsid w:val="00DA4E1E"/>
    <w:rsid w:val="00DA5A92"/>
    <w:rsid w:val="00DA65E4"/>
    <w:rsid w:val="00DA65FA"/>
    <w:rsid w:val="00DA67D7"/>
    <w:rsid w:val="00DA67FA"/>
    <w:rsid w:val="00DA728E"/>
    <w:rsid w:val="00DA753D"/>
    <w:rsid w:val="00DA781E"/>
    <w:rsid w:val="00DB0499"/>
    <w:rsid w:val="00DB117E"/>
    <w:rsid w:val="00DB2A1C"/>
    <w:rsid w:val="00DB2F14"/>
    <w:rsid w:val="00DB3882"/>
    <w:rsid w:val="00DB3BF4"/>
    <w:rsid w:val="00DB426F"/>
    <w:rsid w:val="00DB45BA"/>
    <w:rsid w:val="00DB4B2D"/>
    <w:rsid w:val="00DB51EB"/>
    <w:rsid w:val="00DB649E"/>
    <w:rsid w:val="00DB7692"/>
    <w:rsid w:val="00DB7C25"/>
    <w:rsid w:val="00DC00CA"/>
    <w:rsid w:val="00DC18B8"/>
    <w:rsid w:val="00DC1ADC"/>
    <w:rsid w:val="00DC2239"/>
    <w:rsid w:val="00DC3683"/>
    <w:rsid w:val="00DC5011"/>
    <w:rsid w:val="00DC5B74"/>
    <w:rsid w:val="00DC7322"/>
    <w:rsid w:val="00DC75E7"/>
    <w:rsid w:val="00DC7923"/>
    <w:rsid w:val="00DC79EB"/>
    <w:rsid w:val="00DD0468"/>
    <w:rsid w:val="00DD058E"/>
    <w:rsid w:val="00DD2199"/>
    <w:rsid w:val="00DD2299"/>
    <w:rsid w:val="00DD22B6"/>
    <w:rsid w:val="00DD325C"/>
    <w:rsid w:val="00DD3890"/>
    <w:rsid w:val="00DD3B75"/>
    <w:rsid w:val="00DD3F20"/>
    <w:rsid w:val="00DD4723"/>
    <w:rsid w:val="00DD47E2"/>
    <w:rsid w:val="00DD48F4"/>
    <w:rsid w:val="00DD5969"/>
    <w:rsid w:val="00DD5AE3"/>
    <w:rsid w:val="00DD5C1F"/>
    <w:rsid w:val="00DD6E27"/>
    <w:rsid w:val="00DE0739"/>
    <w:rsid w:val="00DE0C76"/>
    <w:rsid w:val="00DE0E6C"/>
    <w:rsid w:val="00DE1132"/>
    <w:rsid w:val="00DE1BB5"/>
    <w:rsid w:val="00DE2457"/>
    <w:rsid w:val="00DE3C85"/>
    <w:rsid w:val="00DE3F08"/>
    <w:rsid w:val="00DE3FD5"/>
    <w:rsid w:val="00DE49AD"/>
    <w:rsid w:val="00DE4ADC"/>
    <w:rsid w:val="00DE4EA7"/>
    <w:rsid w:val="00DE530E"/>
    <w:rsid w:val="00DE54E2"/>
    <w:rsid w:val="00DE5830"/>
    <w:rsid w:val="00DE5C4A"/>
    <w:rsid w:val="00DE6008"/>
    <w:rsid w:val="00DE6760"/>
    <w:rsid w:val="00DE6CF6"/>
    <w:rsid w:val="00DE7716"/>
    <w:rsid w:val="00DE78FA"/>
    <w:rsid w:val="00DF089F"/>
    <w:rsid w:val="00DF0E0F"/>
    <w:rsid w:val="00DF17C4"/>
    <w:rsid w:val="00DF1E2F"/>
    <w:rsid w:val="00DF1F7A"/>
    <w:rsid w:val="00DF25E5"/>
    <w:rsid w:val="00DF26AE"/>
    <w:rsid w:val="00DF341B"/>
    <w:rsid w:val="00DF3A52"/>
    <w:rsid w:val="00DF3D36"/>
    <w:rsid w:val="00DF52EE"/>
    <w:rsid w:val="00DF5430"/>
    <w:rsid w:val="00DF612F"/>
    <w:rsid w:val="00DF6797"/>
    <w:rsid w:val="00DF6DB8"/>
    <w:rsid w:val="00DF7B1D"/>
    <w:rsid w:val="00DF7D72"/>
    <w:rsid w:val="00E001F6"/>
    <w:rsid w:val="00E006EB"/>
    <w:rsid w:val="00E008D6"/>
    <w:rsid w:val="00E00AB9"/>
    <w:rsid w:val="00E00CF9"/>
    <w:rsid w:val="00E00EAF"/>
    <w:rsid w:val="00E0104E"/>
    <w:rsid w:val="00E0180C"/>
    <w:rsid w:val="00E01EB1"/>
    <w:rsid w:val="00E029C1"/>
    <w:rsid w:val="00E034B9"/>
    <w:rsid w:val="00E036D7"/>
    <w:rsid w:val="00E03A42"/>
    <w:rsid w:val="00E04CE5"/>
    <w:rsid w:val="00E06208"/>
    <w:rsid w:val="00E0633C"/>
    <w:rsid w:val="00E065BB"/>
    <w:rsid w:val="00E06814"/>
    <w:rsid w:val="00E06C70"/>
    <w:rsid w:val="00E06E75"/>
    <w:rsid w:val="00E06EAA"/>
    <w:rsid w:val="00E10150"/>
    <w:rsid w:val="00E101A8"/>
    <w:rsid w:val="00E10A4D"/>
    <w:rsid w:val="00E113ED"/>
    <w:rsid w:val="00E1159E"/>
    <w:rsid w:val="00E11722"/>
    <w:rsid w:val="00E118C5"/>
    <w:rsid w:val="00E12486"/>
    <w:rsid w:val="00E12EE6"/>
    <w:rsid w:val="00E1317D"/>
    <w:rsid w:val="00E13823"/>
    <w:rsid w:val="00E13A1B"/>
    <w:rsid w:val="00E13D13"/>
    <w:rsid w:val="00E1408D"/>
    <w:rsid w:val="00E14C56"/>
    <w:rsid w:val="00E14CA0"/>
    <w:rsid w:val="00E15176"/>
    <w:rsid w:val="00E152E0"/>
    <w:rsid w:val="00E15D32"/>
    <w:rsid w:val="00E1613E"/>
    <w:rsid w:val="00E162BD"/>
    <w:rsid w:val="00E16D0C"/>
    <w:rsid w:val="00E17B3B"/>
    <w:rsid w:val="00E17C86"/>
    <w:rsid w:val="00E17F2B"/>
    <w:rsid w:val="00E2016F"/>
    <w:rsid w:val="00E205AB"/>
    <w:rsid w:val="00E20D0A"/>
    <w:rsid w:val="00E20D81"/>
    <w:rsid w:val="00E21319"/>
    <w:rsid w:val="00E2140A"/>
    <w:rsid w:val="00E225A8"/>
    <w:rsid w:val="00E229BC"/>
    <w:rsid w:val="00E22A98"/>
    <w:rsid w:val="00E22B51"/>
    <w:rsid w:val="00E238F5"/>
    <w:rsid w:val="00E24EE1"/>
    <w:rsid w:val="00E25027"/>
    <w:rsid w:val="00E2530F"/>
    <w:rsid w:val="00E25D20"/>
    <w:rsid w:val="00E267AD"/>
    <w:rsid w:val="00E26898"/>
    <w:rsid w:val="00E26D54"/>
    <w:rsid w:val="00E278BB"/>
    <w:rsid w:val="00E27D61"/>
    <w:rsid w:val="00E30422"/>
    <w:rsid w:val="00E30843"/>
    <w:rsid w:val="00E30D41"/>
    <w:rsid w:val="00E3166F"/>
    <w:rsid w:val="00E316E3"/>
    <w:rsid w:val="00E31884"/>
    <w:rsid w:val="00E31F70"/>
    <w:rsid w:val="00E32729"/>
    <w:rsid w:val="00E32DDB"/>
    <w:rsid w:val="00E330DF"/>
    <w:rsid w:val="00E338D5"/>
    <w:rsid w:val="00E33C94"/>
    <w:rsid w:val="00E340EA"/>
    <w:rsid w:val="00E34717"/>
    <w:rsid w:val="00E352BC"/>
    <w:rsid w:val="00E3562A"/>
    <w:rsid w:val="00E35ED0"/>
    <w:rsid w:val="00E36BBC"/>
    <w:rsid w:val="00E3774A"/>
    <w:rsid w:val="00E40417"/>
    <w:rsid w:val="00E40587"/>
    <w:rsid w:val="00E406EE"/>
    <w:rsid w:val="00E41870"/>
    <w:rsid w:val="00E423C2"/>
    <w:rsid w:val="00E42496"/>
    <w:rsid w:val="00E424FC"/>
    <w:rsid w:val="00E42D49"/>
    <w:rsid w:val="00E42E7C"/>
    <w:rsid w:val="00E43087"/>
    <w:rsid w:val="00E442DD"/>
    <w:rsid w:val="00E452DF"/>
    <w:rsid w:val="00E45854"/>
    <w:rsid w:val="00E45DFC"/>
    <w:rsid w:val="00E46609"/>
    <w:rsid w:val="00E46C22"/>
    <w:rsid w:val="00E472BA"/>
    <w:rsid w:val="00E476FC"/>
    <w:rsid w:val="00E508C1"/>
    <w:rsid w:val="00E51E0D"/>
    <w:rsid w:val="00E52AAA"/>
    <w:rsid w:val="00E531A7"/>
    <w:rsid w:val="00E53EBF"/>
    <w:rsid w:val="00E54511"/>
    <w:rsid w:val="00E54554"/>
    <w:rsid w:val="00E54D8D"/>
    <w:rsid w:val="00E55532"/>
    <w:rsid w:val="00E55C22"/>
    <w:rsid w:val="00E5790A"/>
    <w:rsid w:val="00E57E41"/>
    <w:rsid w:val="00E600B9"/>
    <w:rsid w:val="00E60251"/>
    <w:rsid w:val="00E60477"/>
    <w:rsid w:val="00E60B2D"/>
    <w:rsid w:val="00E60B5F"/>
    <w:rsid w:val="00E60F54"/>
    <w:rsid w:val="00E61131"/>
    <w:rsid w:val="00E61176"/>
    <w:rsid w:val="00E616AB"/>
    <w:rsid w:val="00E61700"/>
    <w:rsid w:val="00E61C56"/>
    <w:rsid w:val="00E61D91"/>
    <w:rsid w:val="00E6205D"/>
    <w:rsid w:val="00E6259F"/>
    <w:rsid w:val="00E62610"/>
    <w:rsid w:val="00E652E7"/>
    <w:rsid w:val="00E65BE6"/>
    <w:rsid w:val="00E66088"/>
    <w:rsid w:val="00E6634E"/>
    <w:rsid w:val="00E66C13"/>
    <w:rsid w:val="00E66D54"/>
    <w:rsid w:val="00E6743C"/>
    <w:rsid w:val="00E70BF6"/>
    <w:rsid w:val="00E70E25"/>
    <w:rsid w:val="00E711ED"/>
    <w:rsid w:val="00E71305"/>
    <w:rsid w:val="00E72CEF"/>
    <w:rsid w:val="00E73076"/>
    <w:rsid w:val="00E734C8"/>
    <w:rsid w:val="00E73E73"/>
    <w:rsid w:val="00E7457A"/>
    <w:rsid w:val="00E74A5B"/>
    <w:rsid w:val="00E756B2"/>
    <w:rsid w:val="00E75FCF"/>
    <w:rsid w:val="00E769C2"/>
    <w:rsid w:val="00E76BD7"/>
    <w:rsid w:val="00E8030E"/>
    <w:rsid w:val="00E80396"/>
    <w:rsid w:val="00E8080F"/>
    <w:rsid w:val="00E80E68"/>
    <w:rsid w:val="00E813B4"/>
    <w:rsid w:val="00E81502"/>
    <w:rsid w:val="00E82358"/>
    <w:rsid w:val="00E824F8"/>
    <w:rsid w:val="00E824FC"/>
    <w:rsid w:val="00E828FF"/>
    <w:rsid w:val="00E82DA5"/>
    <w:rsid w:val="00E82F89"/>
    <w:rsid w:val="00E833BF"/>
    <w:rsid w:val="00E8396E"/>
    <w:rsid w:val="00E85136"/>
    <w:rsid w:val="00E85318"/>
    <w:rsid w:val="00E854E7"/>
    <w:rsid w:val="00E85C4E"/>
    <w:rsid w:val="00E85D3A"/>
    <w:rsid w:val="00E86533"/>
    <w:rsid w:val="00E8678B"/>
    <w:rsid w:val="00E86899"/>
    <w:rsid w:val="00E879EB"/>
    <w:rsid w:val="00E90668"/>
    <w:rsid w:val="00E90B50"/>
    <w:rsid w:val="00E91754"/>
    <w:rsid w:val="00E91801"/>
    <w:rsid w:val="00E9274B"/>
    <w:rsid w:val="00E9298F"/>
    <w:rsid w:val="00E92F10"/>
    <w:rsid w:val="00E9397A"/>
    <w:rsid w:val="00E939BE"/>
    <w:rsid w:val="00E93DD3"/>
    <w:rsid w:val="00E93E00"/>
    <w:rsid w:val="00E94058"/>
    <w:rsid w:val="00E94587"/>
    <w:rsid w:val="00E94681"/>
    <w:rsid w:val="00E94A55"/>
    <w:rsid w:val="00E94B24"/>
    <w:rsid w:val="00E94C0F"/>
    <w:rsid w:val="00E94CB7"/>
    <w:rsid w:val="00E9576E"/>
    <w:rsid w:val="00E95B08"/>
    <w:rsid w:val="00E967B9"/>
    <w:rsid w:val="00E97407"/>
    <w:rsid w:val="00EA002F"/>
    <w:rsid w:val="00EA00DA"/>
    <w:rsid w:val="00EA01CD"/>
    <w:rsid w:val="00EA139C"/>
    <w:rsid w:val="00EA1556"/>
    <w:rsid w:val="00EA1CAA"/>
    <w:rsid w:val="00EA2A73"/>
    <w:rsid w:val="00EA31F1"/>
    <w:rsid w:val="00EA34CB"/>
    <w:rsid w:val="00EA3CEC"/>
    <w:rsid w:val="00EA4773"/>
    <w:rsid w:val="00EA49F7"/>
    <w:rsid w:val="00EA508D"/>
    <w:rsid w:val="00EA597C"/>
    <w:rsid w:val="00EA5EAA"/>
    <w:rsid w:val="00EA631A"/>
    <w:rsid w:val="00EA6BED"/>
    <w:rsid w:val="00EA74B1"/>
    <w:rsid w:val="00EA7F41"/>
    <w:rsid w:val="00EB023D"/>
    <w:rsid w:val="00EB0481"/>
    <w:rsid w:val="00EB0550"/>
    <w:rsid w:val="00EB0889"/>
    <w:rsid w:val="00EB0D9E"/>
    <w:rsid w:val="00EB2762"/>
    <w:rsid w:val="00EB2813"/>
    <w:rsid w:val="00EB2C17"/>
    <w:rsid w:val="00EB2EA0"/>
    <w:rsid w:val="00EB2FA4"/>
    <w:rsid w:val="00EB35E5"/>
    <w:rsid w:val="00EB3F88"/>
    <w:rsid w:val="00EB41D6"/>
    <w:rsid w:val="00EB45F8"/>
    <w:rsid w:val="00EB4E19"/>
    <w:rsid w:val="00EB5EDD"/>
    <w:rsid w:val="00EB6D1A"/>
    <w:rsid w:val="00EB70AE"/>
    <w:rsid w:val="00EB7CB9"/>
    <w:rsid w:val="00EC0166"/>
    <w:rsid w:val="00EC0717"/>
    <w:rsid w:val="00EC0B18"/>
    <w:rsid w:val="00EC0DC4"/>
    <w:rsid w:val="00EC119C"/>
    <w:rsid w:val="00EC1398"/>
    <w:rsid w:val="00EC142A"/>
    <w:rsid w:val="00EC15F3"/>
    <w:rsid w:val="00EC31A0"/>
    <w:rsid w:val="00EC37C7"/>
    <w:rsid w:val="00EC390E"/>
    <w:rsid w:val="00EC3A62"/>
    <w:rsid w:val="00EC41BD"/>
    <w:rsid w:val="00EC472D"/>
    <w:rsid w:val="00EC4A7A"/>
    <w:rsid w:val="00EC4C49"/>
    <w:rsid w:val="00EC4C4C"/>
    <w:rsid w:val="00EC555B"/>
    <w:rsid w:val="00EC55DD"/>
    <w:rsid w:val="00EC5C14"/>
    <w:rsid w:val="00EC628F"/>
    <w:rsid w:val="00EC635E"/>
    <w:rsid w:val="00EC64B4"/>
    <w:rsid w:val="00EC6611"/>
    <w:rsid w:val="00EC6B5C"/>
    <w:rsid w:val="00EC6FBA"/>
    <w:rsid w:val="00EC7FD0"/>
    <w:rsid w:val="00ED028E"/>
    <w:rsid w:val="00ED0ABD"/>
    <w:rsid w:val="00ED0BDA"/>
    <w:rsid w:val="00ED0FD4"/>
    <w:rsid w:val="00ED11CC"/>
    <w:rsid w:val="00ED224E"/>
    <w:rsid w:val="00ED29A9"/>
    <w:rsid w:val="00ED3021"/>
    <w:rsid w:val="00ED3E80"/>
    <w:rsid w:val="00ED4436"/>
    <w:rsid w:val="00ED4570"/>
    <w:rsid w:val="00ED461E"/>
    <w:rsid w:val="00ED5026"/>
    <w:rsid w:val="00ED54C1"/>
    <w:rsid w:val="00ED59D5"/>
    <w:rsid w:val="00ED59F4"/>
    <w:rsid w:val="00ED6E26"/>
    <w:rsid w:val="00ED714E"/>
    <w:rsid w:val="00ED7706"/>
    <w:rsid w:val="00ED7782"/>
    <w:rsid w:val="00ED7D95"/>
    <w:rsid w:val="00EE03BD"/>
    <w:rsid w:val="00EE0436"/>
    <w:rsid w:val="00EE051C"/>
    <w:rsid w:val="00EE0AA2"/>
    <w:rsid w:val="00EE1575"/>
    <w:rsid w:val="00EE177F"/>
    <w:rsid w:val="00EE2322"/>
    <w:rsid w:val="00EE2769"/>
    <w:rsid w:val="00EE2AD0"/>
    <w:rsid w:val="00EE2AF7"/>
    <w:rsid w:val="00EE32BF"/>
    <w:rsid w:val="00EE4799"/>
    <w:rsid w:val="00EE4D94"/>
    <w:rsid w:val="00EE4FC6"/>
    <w:rsid w:val="00EE5092"/>
    <w:rsid w:val="00EE526C"/>
    <w:rsid w:val="00EE5574"/>
    <w:rsid w:val="00EE5CBB"/>
    <w:rsid w:val="00EE75D8"/>
    <w:rsid w:val="00EE78C6"/>
    <w:rsid w:val="00EE7B4F"/>
    <w:rsid w:val="00EE7E33"/>
    <w:rsid w:val="00EF0890"/>
    <w:rsid w:val="00EF0980"/>
    <w:rsid w:val="00EF0A41"/>
    <w:rsid w:val="00EF0D20"/>
    <w:rsid w:val="00EF1594"/>
    <w:rsid w:val="00EF1971"/>
    <w:rsid w:val="00EF1A1A"/>
    <w:rsid w:val="00EF2F0F"/>
    <w:rsid w:val="00EF3141"/>
    <w:rsid w:val="00EF33A3"/>
    <w:rsid w:val="00EF33B4"/>
    <w:rsid w:val="00EF3DFD"/>
    <w:rsid w:val="00EF4CB4"/>
    <w:rsid w:val="00EF5FBD"/>
    <w:rsid w:val="00EF6065"/>
    <w:rsid w:val="00EF60CC"/>
    <w:rsid w:val="00EF6A19"/>
    <w:rsid w:val="00EF764D"/>
    <w:rsid w:val="00EF7F02"/>
    <w:rsid w:val="00F0026F"/>
    <w:rsid w:val="00F02EE5"/>
    <w:rsid w:val="00F035A4"/>
    <w:rsid w:val="00F03B64"/>
    <w:rsid w:val="00F03E0E"/>
    <w:rsid w:val="00F04A53"/>
    <w:rsid w:val="00F04A6A"/>
    <w:rsid w:val="00F04EB5"/>
    <w:rsid w:val="00F05334"/>
    <w:rsid w:val="00F06770"/>
    <w:rsid w:val="00F06A50"/>
    <w:rsid w:val="00F078CC"/>
    <w:rsid w:val="00F1193F"/>
    <w:rsid w:val="00F11E0E"/>
    <w:rsid w:val="00F1251A"/>
    <w:rsid w:val="00F12AD8"/>
    <w:rsid w:val="00F13262"/>
    <w:rsid w:val="00F13CC0"/>
    <w:rsid w:val="00F14004"/>
    <w:rsid w:val="00F1468A"/>
    <w:rsid w:val="00F147D8"/>
    <w:rsid w:val="00F14FCD"/>
    <w:rsid w:val="00F15088"/>
    <w:rsid w:val="00F15FE4"/>
    <w:rsid w:val="00F16675"/>
    <w:rsid w:val="00F16F03"/>
    <w:rsid w:val="00F17724"/>
    <w:rsid w:val="00F20AE9"/>
    <w:rsid w:val="00F2109C"/>
    <w:rsid w:val="00F21439"/>
    <w:rsid w:val="00F21779"/>
    <w:rsid w:val="00F217B8"/>
    <w:rsid w:val="00F21B45"/>
    <w:rsid w:val="00F21C6E"/>
    <w:rsid w:val="00F21DD2"/>
    <w:rsid w:val="00F222BB"/>
    <w:rsid w:val="00F2251D"/>
    <w:rsid w:val="00F228B7"/>
    <w:rsid w:val="00F22951"/>
    <w:rsid w:val="00F22C70"/>
    <w:rsid w:val="00F23AF3"/>
    <w:rsid w:val="00F23C81"/>
    <w:rsid w:val="00F240D7"/>
    <w:rsid w:val="00F24422"/>
    <w:rsid w:val="00F24C36"/>
    <w:rsid w:val="00F251B3"/>
    <w:rsid w:val="00F2568E"/>
    <w:rsid w:val="00F25A6F"/>
    <w:rsid w:val="00F25FD0"/>
    <w:rsid w:val="00F26898"/>
    <w:rsid w:val="00F268B7"/>
    <w:rsid w:val="00F26DD2"/>
    <w:rsid w:val="00F27576"/>
    <w:rsid w:val="00F30778"/>
    <w:rsid w:val="00F3147C"/>
    <w:rsid w:val="00F31770"/>
    <w:rsid w:val="00F3230A"/>
    <w:rsid w:val="00F33924"/>
    <w:rsid w:val="00F34219"/>
    <w:rsid w:val="00F3481D"/>
    <w:rsid w:val="00F34F74"/>
    <w:rsid w:val="00F35953"/>
    <w:rsid w:val="00F35E28"/>
    <w:rsid w:val="00F36769"/>
    <w:rsid w:val="00F369A0"/>
    <w:rsid w:val="00F370C2"/>
    <w:rsid w:val="00F37B6E"/>
    <w:rsid w:val="00F40194"/>
    <w:rsid w:val="00F406DF"/>
    <w:rsid w:val="00F40712"/>
    <w:rsid w:val="00F40A08"/>
    <w:rsid w:val="00F413D9"/>
    <w:rsid w:val="00F41912"/>
    <w:rsid w:val="00F41CD9"/>
    <w:rsid w:val="00F42705"/>
    <w:rsid w:val="00F42C6D"/>
    <w:rsid w:val="00F42D29"/>
    <w:rsid w:val="00F43564"/>
    <w:rsid w:val="00F43B3E"/>
    <w:rsid w:val="00F43CDB"/>
    <w:rsid w:val="00F44BF1"/>
    <w:rsid w:val="00F452BA"/>
    <w:rsid w:val="00F45BE4"/>
    <w:rsid w:val="00F45E49"/>
    <w:rsid w:val="00F45F51"/>
    <w:rsid w:val="00F47518"/>
    <w:rsid w:val="00F47953"/>
    <w:rsid w:val="00F47B9C"/>
    <w:rsid w:val="00F47BBB"/>
    <w:rsid w:val="00F47C46"/>
    <w:rsid w:val="00F47C94"/>
    <w:rsid w:val="00F50614"/>
    <w:rsid w:val="00F5087E"/>
    <w:rsid w:val="00F514F1"/>
    <w:rsid w:val="00F51F1F"/>
    <w:rsid w:val="00F5337D"/>
    <w:rsid w:val="00F53755"/>
    <w:rsid w:val="00F53BC3"/>
    <w:rsid w:val="00F54D6A"/>
    <w:rsid w:val="00F54E18"/>
    <w:rsid w:val="00F55713"/>
    <w:rsid w:val="00F55E0B"/>
    <w:rsid w:val="00F55E41"/>
    <w:rsid w:val="00F5602D"/>
    <w:rsid w:val="00F564C9"/>
    <w:rsid w:val="00F56E6F"/>
    <w:rsid w:val="00F57D73"/>
    <w:rsid w:val="00F60998"/>
    <w:rsid w:val="00F611BF"/>
    <w:rsid w:val="00F62166"/>
    <w:rsid w:val="00F62D85"/>
    <w:rsid w:val="00F62EC2"/>
    <w:rsid w:val="00F637A3"/>
    <w:rsid w:val="00F63C10"/>
    <w:rsid w:val="00F63F4F"/>
    <w:rsid w:val="00F65D0B"/>
    <w:rsid w:val="00F6658E"/>
    <w:rsid w:val="00F669B5"/>
    <w:rsid w:val="00F66F5C"/>
    <w:rsid w:val="00F679A0"/>
    <w:rsid w:val="00F70627"/>
    <w:rsid w:val="00F70773"/>
    <w:rsid w:val="00F708EE"/>
    <w:rsid w:val="00F7102D"/>
    <w:rsid w:val="00F711AC"/>
    <w:rsid w:val="00F715B2"/>
    <w:rsid w:val="00F71785"/>
    <w:rsid w:val="00F71C3B"/>
    <w:rsid w:val="00F722F6"/>
    <w:rsid w:val="00F72447"/>
    <w:rsid w:val="00F725F0"/>
    <w:rsid w:val="00F735D6"/>
    <w:rsid w:val="00F73FD4"/>
    <w:rsid w:val="00F74361"/>
    <w:rsid w:val="00F755EC"/>
    <w:rsid w:val="00F758BE"/>
    <w:rsid w:val="00F75EB2"/>
    <w:rsid w:val="00F75F79"/>
    <w:rsid w:val="00F75F86"/>
    <w:rsid w:val="00F7655C"/>
    <w:rsid w:val="00F76EB4"/>
    <w:rsid w:val="00F76FB7"/>
    <w:rsid w:val="00F77262"/>
    <w:rsid w:val="00F772AE"/>
    <w:rsid w:val="00F77595"/>
    <w:rsid w:val="00F80082"/>
    <w:rsid w:val="00F803A2"/>
    <w:rsid w:val="00F803AD"/>
    <w:rsid w:val="00F81F84"/>
    <w:rsid w:val="00F82077"/>
    <w:rsid w:val="00F82135"/>
    <w:rsid w:val="00F822D9"/>
    <w:rsid w:val="00F82B05"/>
    <w:rsid w:val="00F82DE8"/>
    <w:rsid w:val="00F8326C"/>
    <w:rsid w:val="00F83D03"/>
    <w:rsid w:val="00F83DFA"/>
    <w:rsid w:val="00F84632"/>
    <w:rsid w:val="00F84CAC"/>
    <w:rsid w:val="00F851DB"/>
    <w:rsid w:val="00F8555F"/>
    <w:rsid w:val="00F85E91"/>
    <w:rsid w:val="00F86528"/>
    <w:rsid w:val="00F86AFE"/>
    <w:rsid w:val="00F87E58"/>
    <w:rsid w:val="00F90090"/>
    <w:rsid w:val="00F912A1"/>
    <w:rsid w:val="00F915F3"/>
    <w:rsid w:val="00F9193C"/>
    <w:rsid w:val="00F92B08"/>
    <w:rsid w:val="00F92DE3"/>
    <w:rsid w:val="00F931D6"/>
    <w:rsid w:val="00F93296"/>
    <w:rsid w:val="00F93D1F"/>
    <w:rsid w:val="00F93E2D"/>
    <w:rsid w:val="00F93F45"/>
    <w:rsid w:val="00F94386"/>
    <w:rsid w:val="00F945CC"/>
    <w:rsid w:val="00F963C7"/>
    <w:rsid w:val="00F96446"/>
    <w:rsid w:val="00F9710D"/>
    <w:rsid w:val="00F97153"/>
    <w:rsid w:val="00F976EE"/>
    <w:rsid w:val="00F97842"/>
    <w:rsid w:val="00FA0168"/>
    <w:rsid w:val="00FA0AF1"/>
    <w:rsid w:val="00FA10D4"/>
    <w:rsid w:val="00FA13C2"/>
    <w:rsid w:val="00FA1AFE"/>
    <w:rsid w:val="00FA28EA"/>
    <w:rsid w:val="00FA3A57"/>
    <w:rsid w:val="00FA3E5B"/>
    <w:rsid w:val="00FA52EE"/>
    <w:rsid w:val="00FA55CF"/>
    <w:rsid w:val="00FA59E9"/>
    <w:rsid w:val="00FA5D85"/>
    <w:rsid w:val="00FA62B2"/>
    <w:rsid w:val="00FA6D5C"/>
    <w:rsid w:val="00FB0202"/>
    <w:rsid w:val="00FB0430"/>
    <w:rsid w:val="00FB0512"/>
    <w:rsid w:val="00FB2BF4"/>
    <w:rsid w:val="00FB52BF"/>
    <w:rsid w:val="00FB5DBF"/>
    <w:rsid w:val="00FB5F6E"/>
    <w:rsid w:val="00FB635F"/>
    <w:rsid w:val="00FB63DA"/>
    <w:rsid w:val="00FB6DC4"/>
    <w:rsid w:val="00FB6F0D"/>
    <w:rsid w:val="00FB71F5"/>
    <w:rsid w:val="00FB7770"/>
    <w:rsid w:val="00FB7CCB"/>
    <w:rsid w:val="00FB7DA8"/>
    <w:rsid w:val="00FC0060"/>
    <w:rsid w:val="00FC01D5"/>
    <w:rsid w:val="00FC0A07"/>
    <w:rsid w:val="00FC0CD7"/>
    <w:rsid w:val="00FC0F81"/>
    <w:rsid w:val="00FC17C4"/>
    <w:rsid w:val="00FC1BDF"/>
    <w:rsid w:val="00FC1DA9"/>
    <w:rsid w:val="00FC2470"/>
    <w:rsid w:val="00FC2D61"/>
    <w:rsid w:val="00FC32AE"/>
    <w:rsid w:val="00FC4E31"/>
    <w:rsid w:val="00FC4F96"/>
    <w:rsid w:val="00FC510A"/>
    <w:rsid w:val="00FC6117"/>
    <w:rsid w:val="00FC6355"/>
    <w:rsid w:val="00FC6DEA"/>
    <w:rsid w:val="00FC73C6"/>
    <w:rsid w:val="00FD020A"/>
    <w:rsid w:val="00FD02F4"/>
    <w:rsid w:val="00FD1BC9"/>
    <w:rsid w:val="00FD1DFF"/>
    <w:rsid w:val="00FD238A"/>
    <w:rsid w:val="00FD4A85"/>
    <w:rsid w:val="00FD4E30"/>
    <w:rsid w:val="00FD55E9"/>
    <w:rsid w:val="00FD5653"/>
    <w:rsid w:val="00FD660D"/>
    <w:rsid w:val="00FD75A9"/>
    <w:rsid w:val="00FD7839"/>
    <w:rsid w:val="00FD79EA"/>
    <w:rsid w:val="00FE0182"/>
    <w:rsid w:val="00FE075C"/>
    <w:rsid w:val="00FE07A9"/>
    <w:rsid w:val="00FE115C"/>
    <w:rsid w:val="00FE17CB"/>
    <w:rsid w:val="00FE1883"/>
    <w:rsid w:val="00FE1BCB"/>
    <w:rsid w:val="00FE2EDC"/>
    <w:rsid w:val="00FE3B36"/>
    <w:rsid w:val="00FE46AB"/>
    <w:rsid w:val="00FE4BAD"/>
    <w:rsid w:val="00FE6070"/>
    <w:rsid w:val="00FE6C06"/>
    <w:rsid w:val="00FE6E89"/>
    <w:rsid w:val="00FE71B0"/>
    <w:rsid w:val="00FE73D3"/>
    <w:rsid w:val="00FE7576"/>
    <w:rsid w:val="00FF041B"/>
    <w:rsid w:val="00FF13A2"/>
    <w:rsid w:val="00FF1A12"/>
    <w:rsid w:val="00FF2147"/>
    <w:rsid w:val="00FF22DE"/>
    <w:rsid w:val="00FF2C9A"/>
    <w:rsid w:val="00FF3665"/>
    <w:rsid w:val="00FF3ABC"/>
    <w:rsid w:val="00FF3D87"/>
    <w:rsid w:val="00FF405D"/>
    <w:rsid w:val="00FF44DC"/>
    <w:rsid w:val="00FF498E"/>
    <w:rsid w:val="00FF4A26"/>
    <w:rsid w:val="00FF4A6F"/>
    <w:rsid w:val="00FF50CB"/>
    <w:rsid w:val="00FF5FC6"/>
    <w:rsid w:val="00FF602F"/>
    <w:rsid w:val="00FF7626"/>
    <w:rsid w:val="00FF7AAB"/>
    <w:rsid w:val="04103A18"/>
    <w:rsid w:val="05ADBFF2"/>
    <w:rsid w:val="07DD14DC"/>
    <w:rsid w:val="0931153E"/>
    <w:rsid w:val="09777074"/>
    <w:rsid w:val="0EBFAB39"/>
    <w:rsid w:val="0ED21262"/>
    <w:rsid w:val="15357882"/>
    <w:rsid w:val="1688F91B"/>
    <w:rsid w:val="1BC8B8B3"/>
    <w:rsid w:val="233A5F5F"/>
    <w:rsid w:val="240E1D0D"/>
    <w:rsid w:val="24657815"/>
    <w:rsid w:val="249C6BA1"/>
    <w:rsid w:val="24E7B9D2"/>
    <w:rsid w:val="25BAF9A9"/>
    <w:rsid w:val="265982C0"/>
    <w:rsid w:val="26D331E6"/>
    <w:rsid w:val="26F971CD"/>
    <w:rsid w:val="2A6106C6"/>
    <w:rsid w:val="2BDCE43F"/>
    <w:rsid w:val="2C216F11"/>
    <w:rsid w:val="302FAE5A"/>
    <w:rsid w:val="307DD7F6"/>
    <w:rsid w:val="3363D555"/>
    <w:rsid w:val="35910FE5"/>
    <w:rsid w:val="367F7603"/>
    <w:rsid w:val="37A999F4"/>
    <w:rsid w:val="3827DFAF"/>
    <w:rsid w:val="39D65ECA"/>
    <w:rsid w:val="39F57A79"/>
    <w:rsid w:val="3A3DAAA4"/>
    <w:rsid w:val="3BD9859D"/>
    <w:rsid w:val="41CB1CE7"/>
    <w:rsid w:val="450C39A0"/>
    <w:rsid w:val="46EBD167"/>
    <w:rsid w:val="46ECDA01"/>
    <w:rsid w:val="472BD4EC"/>
    <w:rsid w:val="48DADABD"/>
    <w:rsid w:val="49E70F94"/>
    <w:rsid w:val="504B31CC"/>
    <w:rsid w:val="51ADDE4D"/>
    <w:rsid w:val="534EBC67"/>
    <w:rsid w:val="535E47FC"/>
    <w:rsid w:val="5B88EC45"/>
    <w:rsid w:val="5C837229"/>
    <w:rsid w:val="5E89F1C2"/>
    <w:rsid w:val="5FB8D173"/>
    <w:rsid w:val="6319904E"/>
    <w:rsid w:val="69648C3E"/>
    <w:rsid w:val="6B829946"/>
    <w:rsid w:val="6BE54086"/>
    <w:rsid w:val="730BD211"/>
    <w:rsid w:val="79FDE8CE"/>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47AB917"/>
  <w15:chartTrackingRefBased/>
  <w15:docId w15:val="{25C515E8-59EB-454F-B858-48DE477F8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2CC7"/>
  </w:style>
  <w:style w:type="paragraph" w:styleId="Nagwek1">
    <w:name w:val="heading 1"/>
    <w:basedOn w:val="Normalny"/>
    <w:next w:val="Normalny"/>
    <w:link w:val="Nagwek1Znak"/>
    <w:uiPriority w:val="9"/>
    <w:qFormat/>
    <w:rsid w:val="00870A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1A00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1A00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A1555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7">
    <w:name w:val="heading 7"/>
    <w:basedOn w:val="Normalny"/>
    <w:next w:val="Normalny"/>
    <w:link w:val="Nagwek7Znak"/>
    <w:uiPriority w:val="9"/>
    <w:unhideWhenUsed/>
    <w:qFormat/>
    <w:rsid w:val="008536D5"/>
    <w:pPr>
      <w:keepNext/>
      <w:keepLines/>
      <w:suppressAutoHyphens/>
      <w:spacing w:before="40" w:after="0" w:line="240" w:lineRule="auto"/>
      <w:outlineLvl w:val="6"/>
    </w:pPr>
    <w:rPr>
      <w:rFonts w:asciiTheme="majorHAnsi" w:eastAsiaTheme="majorEastAsia" w:hAnsiTheme="majorHAnsi" w:cstheme="majorBidi"/>
      <w:i/>
      <w:iCs/>
      <w:color w:val="1F3763" w:themeColor="accent1" w:themeShade="7F"/>
      <w:sz w:val="24"/>
      <w:szCs w:val="24"/>
      <w:lang w:eastAsia="ar-SA"/>
    </w:rPr>
  </w:style>
  <w:style w:type="paragraph" w:styleId="Nagwek8">
    <w:name w:val="heading 8"/>
    <w:basedOn w:val="Normalny"/>
    <w:next w:val="Normalny"/>
    <w:link w:val="Nagwek8Znak"/>
    <w:uiPriority w:val="9"/>
    <w:unhideWhenUsed/>
    <w:qFormat/>
    <w:rsid w:val="00185E5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23B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23B26"/>
  </w:style>
  <w:style w:type="paragraph" w:styleId="Stopka">
    <w:name w:val="footer"/>
    <w:basedOn w:val="Normalny"/>
    <w:link w:val="StopkaZnak"/>
    <w:uiPriority w:val="99"/>
    <w:unhideWhenUsed/>
    <w:rsid w:val="00A23B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23B26"/>
  </w:style>
  <w:style w:type="character" w:customStyle="1" w:styleId="Nagwek1Znak">
    <w:name w:val="Nagłówek 1 Znak"/>
    <w:basedOn w:val="Domylnaczcionkaakapitu"/>
    <w:link w:val="Nagwek1"/>
    <w:uiPriority w:val="9"/>
    <w:rsid w:val="00870A2C"/>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870A2C"/>
    <w:pPr>
      <w:outlineLvl w:val="9"/>
    </w:pPr>
    <w:rPr>
      <w:lang w:eastAsia="pl-PL"/>
    </w:rPr>
  </w:style>
  <w:style w:type="paragraph" w:styleId="Spistreci1">
    <w:name w:val="toc 1"/>
    <w:basedOn w:val="Normalny"/>
    <w:next w:val="Normalny"/>
    <w:autoRedefine/>
    <w:uiPriority w:val="39"/>
    <w:unhideWhenUsed/>
    <w:rsid w:val="00512C10"/>
    <w:pPr>
      <w:tabs>
        <w:tab w:val="right" w:leader="dot" w:pos="9062"/>
      </w:tabs>
      <w:spacing w:after="100"/>
    </w:pPr>
    <w:rPr>
      <w:rFonts w:ascii="Arial" w:hAnsi="Arial" w:cs="Arial"/>
      <w:b/>
      <w:bCs/>
      <w:noProof/>
    </w:rPr>
  </w:style>
  <w:style w:type="character" w:styleId="Hipercze">
    <w:name w:val="Hyperlink"/>
    <w:basedOn w:val="Domylnaczcionkaakapitu"/>
    <w:uiPriority w:val="99"/>
    <w:unhideWhenUsed/>
    <w:rsid w:val="001A0022"/>
    <w:rPr>
      <w:color w:val="0563C1" w:themeColor="hyperlink"/>
      <w:u w:val="single"/>
    </w:rPr>
  </w:style>
  <w:style w:type="character" w:customStyle="1" w:styleId="Nagwek2Znak">
    <w:name w:val="Nagłówek 2 Znak"/>
    <w:basedOn w:val="Domylnaczcionkaakapitu"/>
    <w:link w:val="Nagwek2"/>
    <w:uiPriority w:val="9"/>
    <w:rsid w:val="001A0022"/>
    <w:rPr>
      <w:rFonts w:asciiTheme="majorHAnsi" w:eastAsiaTheme="majorEastAsia" w:hAnsiTheme="majorHAnsi" w:cstheme="majorBidi"/>
      <w:color w:val="2F5496" w:themeColor="accent1" w:themeShade="BF"/>
      <w:sz w:val="26"/>
      <w:szCs w:val="26"/>
    </w:rPr>
  </w:style>
  <w:style w:type="paragraph" w:styleId="Spistreci2">
    <w:name w:val="toc 2"/>
    <w:basedOn w:val="Normalny"/>
    <w:next w:val="Normalny"/>
    <w:autoRedefine/>
    <w:uiPriority w:val="39"/>
    <w:unhideWhenUsed/>
    <w:rsid w:val="00B76DF7"/>
    <w:pPr>
      <w:tabs>
        <w:tab w:val="left" w:pos="567"/>
        <w:tab w:val="right" w:leader="dot" w:pos="9062"/>
      </w:tabs>
      <w:spacing w:after="120" w:line="276" w:lineRule="auto"/>
      <w:ind w:left="220"/>
    </w:pPr>
  </w:style>
  <w:style w:type="character" w:customStyle="1" w:styleId="Nagwek3Znak">
    <w:name w:val="Nagłówek 3 Znak"/>
    <w:basedOn w:val="Domylnaczcionkaakapitu"/>
    <w:link w:val="Nagwek3"/>
    <w:uiPriority w:val="9"/>
    <w:rsid w:val="001A0022"/>
    <w:rPr>
      <w:rFonts w:asciiTheme="majorHAnsi" w:eastAsiaTheme="majorEastAsia" w:hAnsiTheme="majorHAnsi" w:cstheme="majorBidi"/>
      <w:color w:val="1F3763" w:themeColor="accent1" w:themeShade="7F"/>
      <w:sz w:val="24"/>
      <w:szCs w:val="24"/>
    </w:rPr>
  </w:style>
  <w:style w:type="paragraph" w:styleId="Spistreci3">
    <w:name w:val="toc 3"/>
    <w:basedOn w:val="Normalny"/>
    <w:next w:val="Normalny"/>
    <w:autoRedefine/>
    <w:uiPriority w:val="39"/>
    <w:unhideWhenUsed/>
    <w:rsid w:val="00095753"/>
    <w:pPr>
      <w:tabs>
        <w:tab w:val="left" w:pos="993"/>
        <w:tab w:val="right" w:leader="dot" w:pos="9062"/>
      </w:tabs>
      <w:spacing w:after="120" w:line="276" w:lineRule="auto"/>
      <w:ind w:left="440"/>
    </w:pPr>
    <w:rPr>
      <w:rFonts w:cstheme="minorHAnsi"/>
      <w:bCs/>
      <w:noProof/>
      <w:sz w:val="24"/>
      <w:szCs w:val="24"/>
    </w:rPr>
  </w:style>
  <w:style w:type="paragraph" w:styleId="Akapitzlist">
    <w:name w:val="List Paragraph"/>
    <w:aliases w:val="Liste à puces retrait droite,List Paragraph compact,Normal bullet 2,Paragraphe de liste 2,Reference list,Bullet list,Numbered List,List Paragraph1,1st level - Bullet List Paragraph,Lettre d'introduction,Paragraph,Bullet EY,Wykres"/>
    <w:basedOn w:val="Normalny"/>
    <w:link w:val="AkapitzlistZnak"/>
    <w:uiPriority w:val="34"/>
    <w:qFormat/>
    <w:rsid w:val="00C73872"/>
    <w:pPr>
      <w:ind w:left="720"/>
      <w:contextualSpacing/>
    </w:p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link w:val="TekstprzypisudolnegoZnak"/>
    <w:uiPriority w:val="99"/>
    <w:unhideWhenUsed/>
    <w:rsid w:val="00674635"/>
    <w:pPr>
      <w:spacing w:after="0" w:line="240" w:lineRule="auto"/>
    </w:pPr>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674635"/>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unhideWhenUsed/>
    <w:rsid w:val="00674635"/>
    <w:rPr>
      <w:vertAlign w:val="superscript"/>
    </w:rPr>
  </w:style>
  <w:style w:type="character" w:styleId="Odwoaniedokomentarza">
    <w:name w:val="annotation reference"/>
    <w:basedOn w:val="Domylnaczcionkaakapitu"/>
    <w:uiPriority w:val="99"/>
    <w:unhideWhenUsed/>
    <w:rsid w:val="00976DA7"/>
    <w:rPr>
      <w:sz w:val="16"/>
      <w:szCs w:val="16"/>
    </w:rPr>
  </w:style>
  <w:style w:type="paragraph" w:styleId="Tekstkomentarza">
    <w:name w:val="annotation text"/>
    <w:aliases w:val=" Znak,Znak"/>
    <w:basedOn w:val="Normalny"/>
    <w:link w:val="TekstkomentarzaZnak"/>
    <w:uiPriority w:val="99"/>
    <w:unhideWhenUsed/>
    <w:qFormat/>
    <w:rsid w:val="00976DA7"/>
    <w:pPr>
      <w:spacing w:line="240" w:lineRule="auto"/>
    </w:pPr>
    <w:rPr>
      <w:sz w:val="20"/>
      <w:szCs w:val="20"/>
    </w:rPr>
  </w:style>
  <w:style w:type="character" w:customStyle="1" w:styleId="TekstkomentarzaZnak">
    <w:name w:val="Tekst komentarza Znak"/>
    <w:aliases w:val=" Znak Znak1,Znak Znak"/>
    <w:basedOn w:val="Domylnaczcionkaakapitu"/>
    <w:link w:val="Tekstkomentarza"/>
    <w:uiPriority w:val="99"/>
    <w:rsid w:val="00976DA7"/>
    <w:rPr>
      <w:sz w:val="20"/>
      <w:szCs w:val="20"/>
    </w:rPr>
  </w:style>
  <w:style w:type="paragraph" w:styleId="Tematkomentarza">
    <w:name w:val="annotation subject"/>
    <w:basedOn w:val="Tekstkomentarza"/>
    <w:next w:val="Tekstkomentarza"/>
    <w:link w:val="TematkomentarzaZnak"/>
    <w:uiPriority w:val="99"/>
    <w:semiHidden/>
    <w:unhideWhenUsed/>
    <w:rsid w:val="00976DA7"/>
    <w:rPr>
      <w:b/>
      <w:bCs/>
    </w:rPr>
  </w:style>
  <w:style w:type="character" w:customStyle="1" w:styleId="TematkomentarzaZnak">
    <w:name w:val="Temat komentarza Znak"/>
    <w:basedOn w:val="TekstkomentarzaZnak"/>
    <w:link w:val="Tematkomentarza"/>
    <w:uiPriority w:val="99"/>
    <w:semiHidden/>
    <w:rsid w:val="00976DA7"/>
    <w:rPr>
      <w:b/>
      <w:bCs/>
      <w:sz w:val="20"/>
      <w:szCs w:val="20"/>
    </w:rPr>
  </w:style>
  <w:style w:type="table" w:styleId="Tabela-Siatka">
    <w:name w:val="Table Grid"/>
    <w:basedOn w:val="Standardowy"/>
    <w:uiPriority w:val="39"/>
    <w:rsid w:val="00604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e à puces retrait droite Znak,List Paragraph compact Znak,Normal bullet 2 Znak,Paragraphe de liste 2 Znak,Reference list Znak,Bullet list Znak,Numbered List Znak,List Paragraph1 Znak,1st level - Bullet List Paragraph Znak"/>
    <w:basedOn w:val="Domylnaczcionkaakapitu"/>
    <w:link w:val="Akapitzlist"/>
    <w:uiPriority w:val="34"/>
    <w:qFormat/>
    <w:rsid w:val="006042B3"/>
  </w:style>
  <w:style w:type="paragraph" w:customStyle="1" w:styleId="NCBRnormalny">
    <w:name w:val="NCBR_normalny"/>
    <w:basedOn w:val="Normalny"/>
    <w:rsid w:val="00922E2A"/>
    <w:pPr>
      <w:spacing w:after="0" w:line="300" w:lineRule="exact"/>
      <w:contextualSpacing/>
      <w:jc w:val="both"/>
    </w:pPr>
    <w:rPr>
      <w:rFonts w:ascii="Lato" w:eastAsia="Arial" w:hAnsi="Lato" w:cs="Arial"/>
      <w:color w:val="000000" w:themeColor="text1"/>
      <w:lang w:val="pl"/>
    </w:rPr>
  </w:style>
  <w:style w:type="paragraph" w:styleId="Poprawka">
    <w:name w:val="Revision"/>
    <w:hidden/>
    <w:uiPriority w:val="99"/>
    <w:semiHidden/>
    <w:rsid w:val="0099624D"/>
    <w:pPr>
      <w:spacing w:after="0" w:line="240" w:lineRule="auto"/>
    </w:pPr>
  </w:style>
  <w:style w:type="character" w:customStyle="1" w:styleId="hgkelc">
    <w:name w:val="hgkelc"/>
    <w:basedOn w:val="Domylnaczcionkaakapitu"/>
    <w:rsid w:val="00E11722"/>
  </w:style>
  <w:style w:type="character" w:customStyle="1" w:styleId="Nagwek7Znak">
    <w:name w:val="Nagłówek 7 Znak"/>
    <w:basedOn w:val="Domylnaczcionkaakapitu"/>
    <w:link w:val="Nagwek7"/>
    <w:uiPriority w:val="9"/>
    <w:rsid w:val="008536D5"/>
    <w:rPr>
      <w:rFonts w:asciiTheme="majorHAnsi" w:eastAsiaTheme="majorEastAsia" w:hAnsiTheme="majorHAnsi" w:cstheme="majorBidi"/>
      <w:i/>
      <w:iCs/>
      <w:color w:val="1F3763" w:themeColor="accent1" w:themeShade="7F"/>
      <w:sz w:val="24"/>
      <w:szCs w:val="24"/>
      <w:lang w:eastAsia="ar-SA"/>
    </w:rPr>
  </w:style>
  <w:style w:type="paragraph" w:customStyle="1" w:styleId="NCBR2Nagowek">
    <w:name w:val="NCBR_2Nagłowek"/>
    <w:basedOn w:val="Normalny"/>
    <w:qFormat/>
    <w:rsid w:val="00767E1E"/>
    <w:pPr>
      <w:keepNext/>
      <w:keepLines/>
      <w:tabs>
        <w:tab w:val="left" w:pos="567"/>
      </w:tabs>
      <w:spacing w:after="60" w:line="300" w:lineRule="exact"/>
      <w:outlineLvl w:val="0"/>
    </w:pPr>
    <w:rPr>
      <w:rFonts w:ascii="Lato" w:eastAsia="Arial" w:hAnsi="Lato" w:cs="Arial"/>
      <w:b/>
      <w:color w:val="00A1DF"/>
      <w:sz w:val="28"/>
      <w:szCs w:val="40"/>
      <w:lang w:val="pl"/>
    </w:rPr>
  </w:style>
  <w:style w:type="character" w:customStyle="1" w:styleId="markedcontent">
    <w:name w:val="markedcontent"/>
    <w:basedOn w:val="Domylnaczcionkaakapitu"/>
    <w:rsid w:val="00771854"/>
  </w:style>
  <w:style w:type="character" w:customStyle="1" w:styleId="highlight">
    <w:name w:val="highlight"/>
    <w:basedOn w:val="Domylnaczcionkaakapitu"/>
    <w:rsid w:val="004A0482"/>
  </w:style>
  <w:style w:type="character" w:customStyle="1" w:styleId="Nierozpoznanawzmianka1">
    <w:name w:val="Nierozpoznana wzmianka1"/>
    <w:basedOn w:val="Domylnaczcionkaakapitu"/>
    <w:uiPriority w:val="99"/>
    <w:semiHidden/>
    <w:unhideWhenUsed/>
    <w:rsid w:val="009841F3"/>
    <w:rPr>
      <w:color w:val="605E5C"/>
      <w:shd w:val="clear" w:color="auto" w:fill="E1DFDD"/>
    </w:rPr>
  </w:style>
  <w:style w:type="paragraph" w:styleId="HTML-wstpniesformatowany">
    <w:name w:val="HTML Preformatted"/>
    <w:basedOn w:val="Normalny"/>
    <w:link w:val="HTML-wstpniesformatowanyZnak"/>
    <w:uiPriority w:val="99"/>
    <w:semiHidden/>
    <w:unhideWhenUsed/>
    <w:rsid w:val="00275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275ECE"/>
    <w:rPr>
      <w:rFonts w:ascii="Courier New" w:eastAsia="Times New Roman" w:hAnsi="Courier New" w:cs="Courier New"/>
      <w:sz w:val="20"/>
      <w:szCs w:val="20"/>
      <w:lang w:eastAsia="pl-PL"/>
    </w:rPr>
  </w:style>
  <w:style w:type="character" w:customStyle="1" w:styleId="y2iqfc">
    <w:name w:val="y2iqfc"/>
    <w:basedOn w:val="Domylnaczcionkaakapitu"/>
    <w:rsid w:val="00275ECE"/>
  </w:style>
  <w:style w:type="paragraph" w:styleId="NormalnyWeb">
    <w:name w:val="Normal (Web)"/>
    <w:basedOn w:val="Normalny"/>
    <w:uiPriority w:val="99"/>
    <w:unhideWhenUsed/>
    <w:rsid w:val="00A6407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76608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6081"/>
    <w:rPr>
      <w:rFonts w:ascii="Segoe UI" w:hAnsi="Segoe UI" w:cs="Segoe UI"/>
      <w:sz w:val="18"/>
      <w:szCs w:val="18"/>
    </w:rPr>
  </w:style>
  <w:style w:type="character" w:customStyle="1" w:styleId="text-justify">
    <w:name w:val="text-justify"/>
    <w:basedOn w:val="Domylnaczcionkaakapitu"/>
    <w:rsid w:val="00225308"/>
  </w:style>
  <w:style w:type="character" w:customStyle="1" w:styleId="Nierozpoznanawzmianka2">
    <w:name w:val="Nierozpoznana wzmianka2"/>
    <w:basedOn w:val="Domylnaczcionkaakapitu"/>
    <w:uiPriority w:val="99"/>
    <w:semiHidden/>
    <w:unhideWhenUsed/>
    <w:rsid w:val="00AE3C64"/>
    <w:rPr>
      <w:color w:val="605E5C"/>
      <w:shd w:val="clear" w:color="auto" w:fill="E1DFDD"/>
    </w:rPr>
  </w:style>
  <w:style w:type="paragraph" w:styleId="Tekstprzypisukocowego">
    <w:name w:val="endnote text"/>
    <w:basedOn w:val="Normalny"/>
    <w:link w:val="TekstprzypisukocowegoZnak"/>
    <w:uiPriority w:val="99"/>
    <w:semiHidden/>
    <w:unhideWhenUsed/>
    <w:rsid w:val="00AE3C6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3C64"/>
    <w:rPr>
      <w:sz w:val="20"/>
      <w:szCs w:val="20"/>
    </w:rPr>
  </w:style>
  <w:style w:type="character" w:styleId="Odwoanieprzypisukocowego">
    <w:name w:val="endnote reference"/>
    <w:basedOn w:val="Domylnaczcionkaakapitu"/>
    <w:uiPriority w:val="99"/>
    <w:semiHidden/>
    <w:unhideWhenUsed/>
    <w:rsid w:val="00AE3C64"/>
    <w:rPr>
      <w:vertAlign w:val="superscript"/>
    </w:rPr>
  </w:style>
  <w:style w:type="paragraph" w:styleId="Bezodstpw">
    <w:name w:val="No Spacing"/>
    <w:uiPriority w:val="1"/>
    <w:qFormat/>
    <w:rsid w:val="0041030A"/>
    <w:pPr>
      <w:spacing w:after="0" w:line="240" w:lineRule="auto"/>
    </w:pPr>
  </w:style>
  <w:style w:type="character" w:styleId="UyteHipercze">
    <w:name w:val="FollowedHyperlink"/>
    <w:basedOn w:val="Domylnaczcionkaakapitu"/>
    <w:uiPriority w:val="99"/>
    <w:semiHidden/>
    <w:unhideWhenUsed/>
    <w:rsid w:val="00CF0127"/>
    <w:rPr>
      <w:color w:val="954F72" w:themeColor="followedHyperlink"/>
      <w:u w:val="single"/>
    </w:rPr>
  </w:style>
  <w:style w:type="paragraph" w:customStyle="1" w:styleId="CM1">
    <w:name w:val="CM1"/>
    <w:basedOn w:val="Normalny"/>
    <w:next w:val="Normalny"/>
    <w:uiPriority w:val="99"/>
    <w:rsid w:val="00CC2793"/>
    <w:pPr>
      <w:autoSpaceDE w:val="0"/>
      <w:autoSpaceDN w:val="0"/>
      <w:adjustRightInd w:val="0"/>
      <w:spacing w:after="0" w:line="240" w:lineRule="auto"/>
    </w:pPr>
    <w:rPr>
      <w:rFonts w:ascii="Times New Roman" w:hAnsi="Times New Roman" w:cs="Times New Roman"/>
      <w:sz w:val="24"/>
      <w:szCs w:val="24"/>
    </w:rPr>
  </w:style>
  <w:style w:type="paragraph" w:customStyle="1" w:styleId="CM3">
    <w:name w:val="CM3"/>
    <w:basedOn w:val="Normalny"/>
    <w:next w:val="Normalny"/>
    <w:uiPriority w:val="99"/>
    <w:rsid w:val="00CC2793"/>
    <w:pPr>
      <w:autoSpaceDE w:val="0"/>
      <w:autoSpaceDN w:val="0"/>
      <w:adjustRightInd w:val="0"/>
      <w:spacing w:after="0" w:line="240" w:lineRule="auto"/>
    </w:pPr>
    <w:rPr>
      <w:rFonts w:ascii="Times New Roman" w:hAnsi="Times New Roman" w:cs="Times New Roman"/>
      <w:sz w:val="24"/>
      <w:szCs w:val="24"/>
    </w:rPr>
  </w:style>
  <w:style w:type="character" w:customStyle="1" w:styleId="Nagwek4Znak">
    <w:name w:val="Nagłówek 4 Znak"/>
    <w:basedOn w:val="Domylnaczcionkaakapitu"/>
    <w:link w:val="Nagwek4"/>
    <w:uiPriority w:val="9"/>
    <w:rsid w:val="00A1555E"/>
    <w:rPr>
      <w:rFonts w:asciiTheme="majorHAnsi" w:eastAsiaTheme="majorEastAsia" w:hAnsiTheme="majorHAnsi" w:cstheme="majorBidi"/>
      <w:i/>
      <w:iCs/>
      <w:color w:val="2F5496" w:themeColor="accent1" w:themeShade="BF"/>
    </w:rPr>
  </w:style>
  <w:style w:type="paragraph" w:styleId="Tytu">
    <w:name w:val="Title"/>
    <w:basedOn w:val="Normalny"/>
    <w:next w:val="Normalny"/>
    <w:link w:val="TytuZnak"/>
    <w:uiPriority w:val="10"/>
    <w:qFormat/>
    <w:rsid w:val="004D52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D5283"/>
    <w:rPr>
      <w:rFonts w:asciiTheme="majorHAnsi" w:eastAsiaTheme="majorEastAsia" w:hAnsiTheme="majorHAnsi" w:cstheme="majorBidi"/>
      <w:spacing w:val="-10"/>
      <w:kern w:val="28"/>
      <w:sz w:val="56"/>
      <w:szCs w:val="56"/>
    </w:rPr>
  </w:style>
  <w:style w:type="character" w:customStyle="1" w:styleId="Nagwek8Znak">
    <w:name w:val="Nagłówek 8 Znak"/>
    <w:basedOn w:val="Domylnaczcionkaakapitu"/>
    <w:link w:val="Nagwek8"/>
    <w:uiPriority w:val="9"/>
    <w:rsid w:val="00185E50"/>
    <w:rPr>
      <w:rFonts w:asciiTheme="majorHAnsi" w:eastAsiaTheme="majorEastAsia" w:hAnsiTheme="majorHAnsi" w:cstheme="majorBidi"/>
      <w:color w:val="272727" w:themeColor="text1" w:themeTint="D8"/>
      <w:sz w:val="21"/>
      <w:szCs w:val="21"/>
    </w:rPr>
  </w:style>
  <w:style w:type="paragraph" w:customStyle="1" w:styleId="Tekstpodstawowywcity21">
    <w:name w:val="Tekst podstawowy wcięty 21"/>
    <w:basedOn w:val="Normalny"/>
    <w:rsid w:val="000E7A52"/>
    <w:pPr>
      <w:suppressAutoHyphens/>
      <w:spacing w:after="0" w:line="240" w:lineRule="auto"/>
      <w:ind w:left="360"/>
      <w:jc w:val="both"/>
    </w:pPr>
    <w:rPr>
      <w:rFonts w:ascii="Times New Roman" w:eastAsia="Times New Roman" w:hAnsi="Times New Roman" w:cs="Times New Roman"/>
      <w:sz w:val="24"/>
      <w:szCs w:val="24"/>
      <w:lang w:eastAsia="ar-SA"/>
    </w:rPr>
  </w:style>
  <w:style w:type="character" w:customStyle="1" w:styleId="ui-provider">
    <w:name w:val="ui-provider"/>
    <w:basedOn w:val="Domylnaczcionkaakapitu"/>
    <w:rsid w:val="008A5918"/>
  </w:style>
  <w:style w:type="paragraph" w:customStyle="1" w:styleId="Wtabeli">
    <w:name w:val="_W tabeli"/>
    <w:basedOn w:val="Normalny"/>
    <w:qFormat/>
    <w:rsid w:val="004142E5"/>
    <w:pPr>
      <w:spacing w:after="40" w:line="240" w:lineRule="auto"/>
      <w:jc w:val="both"/>
    </w:pPr>
    <w:rPr>
      <w:sz w:val="18"/>
      <w:szCs w:val="18"/>
    </w:rPr>
  </w:style>
  <w:style w:type="paragraph" w:styleId="Spistreci4">
    <w:name w:val="toc 4"/>
    <w:basedOn w:val="Normalny"/>
    <w:next w:val="Normalny"/>
    <w:autoRedefine/>
    <w:uiPriority w:val="39"/>
    <w:unhideWhenUsed/>
    <w:rsid w:val="00985291"/>
    <w:pPr>
      <w:spacing w:after="100"/>
      <w:ind w:left="660"/>
    </w:pPr>
    <w:rPr>
      <w:rFonts w:eastAsiaTheme="minorEastAsia"/>
      <w:lang w:eastAsia="pl-PL"/>
    </w:rPr>
  </w:style>
  <w:style w:type="paragraph" w:styleId="Spistreci5">
    <w:name w:val="toc 5"/>
    <w:basedOn w:val="Normalny"/>
    <w:next w:val="Normalny"/>
    <w:autoRedefine/>
    <w:uiPriority w:val="39"/>
    <w:unhideWhenUsed/>
    <w:rsid w:val="00985291"/>
    <w:pPr>
      <w:spacing w:after="100"/>
      <w:ind w:left="880"/>
    </w:pPr>
    <w:rPr>
      <w:rFonts w:eastAsiaTheme="minorEastAsia"/>
      <w:lang w:eastAsia="pl-PL"/>
    </w:rPr>
  </w:style>
  <w:style w:type="paragraph" w:styleId="Spistreci6">
    <w:name w:val="toc 6"/>
    <w:basedOn w:val="Normalny"/>
    <w:next w:val="Normalny"/>
    <w:autoRedefine/>
    <w:uiPriority w:val="39"/>
    <w:unhideWhenUsed/>
    <w:rsid w:val="00985291"/>
    <w:pPr>
      <w:spacing w:after="100"/>
      <w:ind w:left="1100"/>
    </w:pPr>
    <w:rPr>
      <w:rFonts w:eastAsiaTheme="minorEastAsia"/>
      <w:lang w:eastAsia="pl-PL"/>
    </w:rPr>
  </w:style>
  <w:style w:type="paragraph" w:styleId="Spistreci7">
    <w:name w:val="toc 7"/>
    <w:basedOn w:val="Normalny"/>
    <w:next w:val="Normalny"/>
    <w:autoRedefine/>
    <w:uiPriority w:val="39"/>
    <w:unhideWhenUsed/>
    <w:rsid w:val="00985291"/>
    <w:pPr>
      <w:spacing w:after="100"/>
      <w:ind w:left="1320"/>
    </w:pPr>
    <w:rPr>
      <w:rFonts w:eastAsiaTheme="minorEastAsia"/>
      <w:lang w:eastAsia="pl-PL"/>
    </w:rPr>
  </w:style>
  <w:style w:type="paragraph" w:styleId="Spistreci8">
    <w:name w:val="toc 8"/>
    <w:basedOn w:val="Normalny"/>
    <w:next w:val="Normalny"/>
    <w:autoRedefine/>
    <w:uiPriority w:val="39"/>
    <w:unhideWhenUsed/>
    <w:rsid w:val="00985291"/>
    <w:pPr>
      <w:spacing w:after="100"/>
      <w:ind w:left="1540"/>
    </w:pPr>
    <w:rPr>
      <w:rFonts w:eastAsiaTheme="minorEastAsia"/>
      <w:lang w:eastAsia="pl-PL"/>
    </w:rPr>
  </w:style>
  <w:style w:type="paragraph" w:styleId="Spistreci9">
    <w:name w:val="toc 9"/>
    <w:basedOn w:val="Normalny"/>
    <w:next w:val="Normalny"/>
    <w:autoRedefine/>
    <w:uiPriority w:val="39"/>
    <w:unhideWhenUsed/>
    <w:rsid w:val="00985291"/>
    <w:pPr>
      <w:spacing w:after="100"/>
      <w:ind w:left="1760"/>
    </w:pPr>
    <w:rPr>
      <w:rFonts w:eastAsiaTheme="minorEastAsia"/>
      <w:lang w:eastAsia="pl-PL"/>
    </w:rPr>
  </w:style>
  <w:style w:type="character" w:styleId="Uwydatnienie">
    <w:name w:val="Emphasis"/>
    <w:basedOn w:val="Domylnaczcionkaakapitu"/>
    <w:uiPriority w:val="20"/>
    <w:qFormat/>
    <w:rsid w:val="0001616D"/>
    <w:rPr>
      <w:i/>
      <w:iCs/>
    </w:rPr>
  </w:style>
  <w:style w:type="paragraph" w:customStyle="1" w:styleId="ZUSTzmustartykuempunktem">
    <w:name w:val="Z/UST(§) – zm. ust. (§) artykułem (punktem)"/>
    <w:basedOn w:val="Normalny"/>
    <w:uiPriority w:val="30"/>
    <w:qFormat/>
    <w:rsid w:val="00AE46D2"/>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character" w:styleId="Nierozpoznanawzmianka">
    <w:name w:val="Unresolved Mention"/>
    <w:basedOn w:val="Domylnaczcionkaakapitu"/>
    <w:uiPriority w:val="99"/>
    <w:unhideWhenUsed/>
    <w:rsid w:val="00E6205D"/>
    <w:rPr>
      <w:color w:val="605E5C"/>
      <w:shd w:val="clear" w:color="auto" w:fill="E1DFDD"/>
    </w:rPr>
  </w:style>
  <w:style w:type="character" w:styleId="Wzmianka">
    <w:name w:val="Mention"/>
    <w:basedOn w:val="Domylnaczcionkaakapitu"/>
    <w:uiPriority w:val="99"/>
    <w:unhideWhenUsed/>
    <w:rsid w:val="00B600E5"/>
    <w:rPr>
      <w:color w:val="2B579A"/>
      <w:shd w:val="clear" w:color="auto" w:fill="E1DFDD"/>
    </w:rPr>
  </w:style>
  <w:style w:type="paragraph" w:customStyle="1" w:styleId="CM4">
    <w:name w:val="CM4"/>
    <w:basedOn w:val="Normalny"/>
    <w:next w:val="Normalny"/>
    <w:uiPriority w:val="99"/>
    <w:rsid w:val="00837DE9"/>
    <w:pPr>
      <w:autoSpaceDE w:val="0"/>
      <w:autoSpaceDN w:val="0"/>
      <w:adjustRightInd w:val="0"/>
      <w:spacing w:after="0" w:line="240" w:lineRule="auto"/>
    </w:pPr>
    <w:rPr>
      <w:rFonts w:ascii="Times New Roman" w:hAnsi="Times New Roman" w:cs="Times New Roman"/>
      <w:sz w:val="24"/>
      <w:szCs w:val="24"/>
    </w:rPr>
  </w:style>
  <w:style w:type="character" w:customStyle="1" w:styleId="TekstkomentarzaZnak1">
    <w:name w:val="Tekst komentarza Znak1"/>
    <w:aliases w:val=" Znak Znak,Znak Znak17"/>
    <w:uiPriority w:val="99"/>
    <w:rsid w:val="00E6205D"/>
    <w:rPr>
      <w:rFonts w:ascii="Arial" w:hAnsi="Arial"/>
      <w:lang w:eastAsia="ar-SA"/>
    </w:rPr>
  </w:style>
  <w:style w:type="character" w:customStyle="1" w:styleId="ng-binding">
    <w:name w:val="ng-binding"/>
    <w:basedOn w:val="Domylnaczcionkaakapitu"/>
    <w:rsid w:val="00A91391"/>
  </w:style>
  <w:style w:type="character" w:customStyle="1" w:styleId="ng-scope">
    <w:name w:val="ng-scope"/>
    <w:basedOn w:val="Domylnaczcionkaakapitu"/>
    <w:rsid w:val="00A91391"/>
  </w:style>
  <w:style w:type="paragraph" w:customStyle="1" w:styleId="pf1">
    <w:name w:val="pf1"/>
    <w:basedOn w:val="Normalny"/>
    <w:rsid w:val="00056FE5"/>
    <w:pPr>
      <w:spacing w:before="100" w:beforeAutospacing="1" w:after="100" w:afterAutospacing="1" w:line="240" w:lineRule="auto"/>
      <w:ind w:left="700"/>
    </w:pPr>
    <w:rPr>
      <w:rFonts w:ascii="Times New Roman" w:eastAsia="Times New Roman" w:hAnsi="Times New Roman" w:cs="Times New Roman"/>
      <w:sz w:val="24"/>
      <w:szCs w:val="24"/>
      <w:lang w:eastAsia="pl-PL"/>
    </w:rPr>
  </w:style>
  <w:style w:type="paragraph" w:customStyle="1" w:styleId="pf2">
    <w:name w:val="pf2"/>
    <w:basedOn w:val="Normalny"/>
    <w:rsid w:val="00056FE5"/>
    <w:pPr>
      <w:spacing w:before="100" w:beforeAutospacing="1" w:after="100" w:afterAutospacing="1" w:line="240" w:lineRule="auto"/>
      <w:ind w:left="720"/>
    </w:pPr>
    <w:rPr>
      <w:rFonts w:ascii="Times New Roman" w:eastAsia="Times New Roman" w:hAnsi="Times New Roman" w:cs="Times New Roman"/>
      <w:sz w:val="24"/>
      <w:szCs w:val="24"/>
      <w:lang w:eastAsia="pl-PL"/>
    </w:rPr>
  </w:style>
  <w:style w:type="paragraph" w:customStyle="1" w:styleId="pf0">
    <w:name w:val="pf0"/>
    <w:basedOn w:val="Normalny"/>
    <w:rsid w:val="00056FE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056FE5"/>
    <w:rPr>
      <w:rFonts w:ascii="Segoe UI" w:hAnsi="Segoe UI" w:cs="Segoe UI" w:hint="default"/>
      <w:sz w:val="18"/>
      <w:szCs w:val="18"/>
    </w:rPr>
  </w:style>
  <w:style w:type="character" w:customStyle="1" w:styleId="cf21">
    <w:name w:val="cf21"/>
    <w:basedOn w:val="Domylnaczcionkaakapitu"/>
    <w:rsid w:val="00056FE5"/>
    <w:rPr>
      <w:rFonts w:ascii="Segoe UI" w:hAnsi="Segoe UI" w:cs="Segoe UI" w:hint="default"/>
      <w:b/>
      <w:bCs/>
      <w:sz w:val="18"/>
      <w:szCs w:val="18"/>
    </w:rPr>
  </w:style>
  <w:style w:type="character" w:customStyle="1" w:styleId="cf31">
    <w:name w:val="cf31"/>
    <w:basedOn w:val="Domylnaczcionkaakapitu"/>
    <w:rsid w:val="00056FE5"/>
    <w:rPr>
      <w:rFonts w:ascii="Segoe UI" w:hAnsi="Segoe UI" w:cs="Segoe UI" w:hint="default"/>
      <w:b/>
      <w:bCs/>
      <w:i/>
      <w:iCs/>
      <w:sz w:val="18"/>
      <w:szCs w:val="18"/>
    </w:rPr>
  </w:style>
  <w:style w:type="paragraph" w:customStyle="1" w:styleId="Default">
    <w:name w:val="Default"/>
    <w:rsid w:val="007E1A7A"/>
    <w:pPr>
      <w:autoSpaceDE w:val="0"/>
      <w:autoSpaceDN w:val="0"/>
      <w:adjustRightInd w:val="0"/>
      <w:spacing w:after="0" w:line="240" w:lineRule="auto"/>
    </w:pPr>
    <w:rPr>
      <w:rFonts w:ascii="Calibri" w:hAnsi="Calibri" w:cs="Calibri"/>
      <w:color w:val="000000"/>
      <w:sz w:val="24"/>
      <w:szCs w:val="24"/>
    </w:rPr>
  </w:style>
  <w:style w:type="paragraph" w:customStyle="1" w:styleId="ManualConsidrant">
    <w:name w:val="Manual Considérant"/>
    <w:basedOn w:val="Normalny"/>
    <w:rsid w:val="008253CB"/>
    <w:pPr>
      <w:spacing w:before="120" w:after="120" w:line="240" w:lineRule="auto"/>
      <w:ind w:left="709" w:hanging="709"/>
      <w:jc w:val="both"/>
    </w:pPr>
    <w:rPr>
      <w:rFonts w:ascii="Times New Roman" w:hAnsi="Times New Roman" w:cs="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896">
      <w:bodyDiv w:val="1"/>
      <w:marLeft w:val="0"/>
      <w:marRight w:val="0"/>
      <w:marTop w:val="0"/>
      <w:marBottom w:val="0"/>
      <w:divBdr>
        <w:top w:val="none" w:sz="0" w:space="0" w:color="auto"/>
        <w:left w:val="none" w:sz="0" w:space="0" w:color="auto"/>
        <w:bottom w:val="none" w:sz="0" w:space="0" w:color="auto"/>
        <w:right w:val="none" w:sz="0" w:space="0" w:color="auto"/>
      </w:divBdr>
    </w:div>
    <w:div w:id="11802446">
      <w:bodyDiv w:val="1"/>
      <w:marLeft w:val="0"/>
      <w:marRight w:val="0"/>
      <w:marTop w:val="0"/>
      <w:marBottom w:val="0"/>
      <w:divBdr>
        <w:top w:val="none" w:sz="0" w:space="0" w:color="auto"/>
        <w:left w:val="none" w:sz="0" w:space="0" w:color="auto"/>
        <w:bottom w:val="none" w:sz="0" w:space="0" w:color="auto"/>
        <w:right w:val="none" w:sz="0" w:space="0" w:color="auto"/>
      </w:divBdr>
    </w:div>
    <w:div w:id="54280875">
      <w:bodyDiv w:val="1"/>
      <w:marLeft w:val="0"/>
      <w:marRight w:val="0"/>
      <w:marTop w:val="0"/>
      <w:marBottom w:val="0"/>
      <w:divBdr>
        <w:top w:val="none" w:sz="0" w:space="0" w:color="auto"/>
        <w:left w:val="none" w:sz="0" w:space="0" w:color="auto"/>
        <w:bottom w:val="none" w:sz="0" w:space="0" w:color="auto"/>
        <w:right w:val="none" w:sz="0" w:space="0" w:color="auto"/>
      </w:divBdr>
    </w:div>
    <w:div w:id="105545304">
      <w:bodyDiv w:val="1"/>
      <w:marLeft w:val="0"/>
      <w:marRight w:val="0"/>
      <w:marTop w:val="0"/>
      <w:marBottom w:val="0"/>
      <w:divBdr>
        <w:top w:val="none" w:sz="0" w:space="0" w:color="auto"/>
        <w:left w:val="none" w:sz="0" w:space="0" w:color="auto"/>
        <w:bottom w:val="none" w:sz="0" w:space="0" w:color="auto"/>
        <w:right w:val="none" w:sz="0" w:space="0" w:color="auto"/>
      </w:divBdr>
    </w:div>
    <w:div w:id="130948377">
      <w:bodyDiv w:val="1"/>
      <w:marLeft w:val="0"/>
      <w:marRight w:val="0"/>
      <w:marTop w:val="0"/>
      <w:marBottom w:val="0"/>
      <w:divBdr>
        <w:top w:val="none" w:sz="0" w:space="0" w:color="auto"/>
        <w:left w:val="none" w:sz="0" w:space="0" w:color="auto"/>
        <w:bottom w:val="none" w:sz="0" w:space="0" w:color="auto"/>
        <w:right w:val="none" w:sz="0" w:space="0" w:color="auto"/>
      </w:divBdr>
    </w:div>
    <w:div w:id="135266381">
      <w:bodyDiv w:val="1"/>
      <w:marLeft w:val="0"/>
      <w:marRight w:val="0"/>
      <w:marTop w:val="0"/>
      <w:marBottom w:val="0"/>
      <w:divBdr>
        <w:top w:val="none" w:sz="0" w:space="0" w:color="auto"/>
        <w:left w:val="none" w:sz="0" w:space="0" w:color="auto"/>
        <w:bottom w:val="none" w:sz="0" w:space="0" w:color="auto"/>
        <w:right w:val="none" w:sz="0" w:space="0" w:color="auto"/>
      </w:divBdr>
    </w:div>
    <w:div w:id="193544488">
      <w:bodyDiv w:val="1"/>
      <w:marLeft w:val="0"/>
      <w:marRight w:val="0"/>
      <w:marTop w:val="0"/>
      <w:marBottom w:val="0"/>
      <w:divBdr>
        <w:top w:val="none" w:sz="0" w:space="0" w:color="auto"/>
        <w:left w:val="none" w:sz="0" w:space="0" w:color="auto"/>
        <w:bottom w:val="none" w:sz="0" w:space="0" w:color="auto"/>
        <w:right w:val="none" w:sz="0" w:space="0" w:color="auto"/>
      </w:divBdr>
    </w:div>
    <w:div w:id="200630651">
      <w:bodyDiv w:val="1"/>
      <w:marLeft w:val="0"/>
      <w:marRight w:val="0"/>
      <w:marTop w:val="0"/>
      <w:marBottom w:val="0"/>
      <w:divBdr>
        <w:top w:val="none" w:sz="0" w:space="0" w:color="auto"/>
        <w:left w:val="none" w:sz="0" w:space="0" w:color="auto"/>
        <w:bottom w:val="none" w:sz="0" w:space="0" w:color="auto"/>
        <w:right w:val="none" w:sz="0" w:space="0" w:color="auto"/>
      </w:divBdr>
    </w:div>
    <w:div w:id="236400301">
      <w:bodyDiv w:val="1"/>
      <w:marLeft w:val="0"/>
      <w:marRight w:val="0"/>
      <w:marTop w:val="0"/>
      <w:marBottom w:val="0"/>
      <w:divBdr>
        <w:top w:val="none" w:sz="0" w:space="0" w:color="auto"/>
        <w:left w:val="none" w:sz="0" w:space="0" w:color="auto"/>
        <w:bottom w:val="none" w:sz="0" w:space="0" w:color="auto"/>
        <w:right w:val="none" w:sz="0" w:space="0" w:color="auto"/>
      </w:divBdr>
    </w:div>
    <w:div w:id="244458955">
      <w:bodyDiv w:val="1"/>
      <w:marLeft w:val="0"/>
      <w:marRight w:val="0"/>
      <w:marTop w:val="0"/>
      <w:marBottom w:val="0"/>
      <w:divBdr>
        <w:top w:val="none" w:sz="0" w:space="0" w:color="auto"/>
        <w:left w:val="none" w:sz="0" w:space="0" w:color="auto"/>
        <w:bottom w:val="none" w:sz="0" w:space="0" w:color="auto"/>
        <w:right w:val="none" w:sz="0" w:space="0" w:color="auto"/>
      </w:divBdr>
      <w:divsChild>
        <w:div w:id="2083063385">
          <w:marLeft w:val="0"/>
          <w:marRight w:val="0"/>
          <w:marTop w:val="0"/>
          <w:marBottom w:val="0"/>
          <w:divBdr>
            <w:top w:val="none" w:sz="0" w:space="0" w:color="auto"/>
            <w:left w:val="none" w:sz="0" w:space="0" w:color="auto"/>
            <w:bottom w:val="none" w:sz="0" w:space="0" w:color="auto"/>
            <w:right w:val="none" w:sz="0" w:space="0" w:color="auto"/>
          </w:divBdr>
          <w:divsChild>
            <w:div w:id="71465759">
              <w:marLeft w:val="0"/>
              <w:marRight w:val="0"/>
              <w:marTop w:val="0"/>
              <w:marBottom w:val="0"/>
              <w:divBdr>
                <w:top w:val="none" w:sz="0" w:space="0" w:color="auto"/>
                <w:left w:val="none" w:sz="0" w:space="0" w:color="auto"/>
                <w:bottom w:val="none" w:sz="0" w:space="0" w:color="auto"/>
                <w:right w:val="none" w:sz="0" w:space="0" w:color="auto"/>
              </w:divBdr>
              <w:divsChild>
                <w:div w:id="186605515">
                  <w:marLeft w:val="0"/>
                  <w:marRight w:val="0"/>
                  <w:marTop w:val="0"/>
                  <w:marBottom w:val="0"/>
                  <w:divBdr>
                    <w:top w:val="none" w:sz="0" w:space="0" w:color="auto"/>
                    <w:left w:val="none" w:sz="0" w:space="0" w:color="auto"/>
                    <w:bottom w:val="none" w:sz="0" w:space="0" w:color="auto"/>
                    <w:right w:val="none" w:sz="0" w:space="0" w:color="auto"/>
                  </w:divBdr>
                  <w:divsChild>
                    <w:div w:id="14381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077663">
      <w:bodyDiv w:val="1"/>
      <w:marLeft w:val="0"/>
      <w:marRight w:val="0"/>
      <w:marTop w:val="0"/>
      <w:marBottom w:val="0"/>
      <w:divBdr>
        <w:top w:val="none" w:sz="0" w:space="0" w:color="auto"/>
        <w:left w:val="none" w:sz="0" w:space="0" w:color="auto"/>
        <w:bottom w:val="none" w:sz="0" w:space="0" w:color="auto"/>
        <w:right w:val="none" w:sz="0" w:space="0" w:color="auto"/>
      </w:divBdr>
      <w:divsChild>
        <w:div w:id="2033528521">
          <w:marLeft w:val="0"/>
          <w:marRight w:val="0"/>
          <w:marTop w:val="0"/>
          <w:marBottom w:val="0"/>
          <w:divBdr>
            <w:top w:val="none" w:sz="0" w:space="0" w:color="auto"/>
            <w:left w:val="none" w:sz="0" w:space="0" w:color="auto"/>
            <w:bottom w:val="none" w:sz="0" w:space="0" w:color="auto"/>
            <w:right w:val="none" w:sz="0" w:space="0" w:color="auto"/>
          </w:divBdr>
        </w:div>
        <w:div w:id="1946646665">
          <w:marLeft w:val="0"/>
          <w:marRight w:val="0"/>
          <w:marTop w:val="0"/>
          <w:marBottom w:val="0"/>
          <w:divBdr>
            <w:top w:val="none" w:sz="0" w:space="0" w:color="auto"/>
            <w:left w:val="none" w:sz="0" w:space="0" w:color="auto"/>
            <w:bottom w:val="none" w:sz="0" w:space="0" w:color="auto"/>
            <w:right w:val="none" w:sz="0" w:space="0" w:color="auto"/>
          </w:divBdr>
        </w:div>
        <w:div w:id="606616931">
          <w:marLeft w:val="0"/>
          <w:marRight w:val="0"/>
          <w:marTop w:val="0"/>
          <w:marBottom w:val="0"/>
          <w:divBdr>
            <w:top w:val="none" w:sz="0" w:space="0" w:color="auto"/>
            <w:left w:val="none" w:sz="0" w:space="0" w:color="auto"/>
            <w:bottom w:val="none" w:sz="0" w:space="0" w:color="auto"/>
            <w:right w:val="none" w:sz="0" w:space="0" w:color="auto"/>
          </w:divBdr>
        </w:div>
      </w:divsChild>
    </w:div>
    <w:div w:id="370689462">
      <w:bodyDiv w:val="1"/>
      <w:marLeft w:val="0"/>
      <w:marRight w:val="0"/>
      <w:marTop w:val="0"/>
      <w:marBottom w:val="0"/>
      <w:divBdr>
        <w:top w:val="none" w:sz="0" w:space="0" w:color="auto"/>
        <w:left w:val="none" w:sz="0" w:space="0" w:color="auto"/>
        <w:bottom w:val="none" w:sz="0" w:space="0" w:color="auto"/>
        <w:right w:val="none" w:sz="0" w:space="0" w:color="auto"/>
      </w:divBdr>
    </w:div>
    <w:div w:id="394663117">
      <w:bodyDiv w:val="1"/>
      <w:marLeft w:val="0"/>
      <w:marRight w:val="0"/>
      <w:marTop w:val="0"/>
      <w:marBottom w:val="0"/>
      <w:divBdr>
        <w:top w:val="none" w:sz="0" w:space="0" w:color="auto"/>
        <w:left w:val="none" w:sz="0" w:space="0" w:color="auto"/>
        <w:bottom w:val="none" w:sz="0" w:space="0" w:color="auto"/>
        <w:right w:val="none" w:sz="0" w:space="0" w:color="auto"/>
      </w:divBdr>
    </w:div>
    <w:div w:id="463961253">
      <w:bodyDiv w:val="1"/>
      <w:marLeft w:val="0"/>
      <w:marRight w:val="0"/>
      <w:marTop w:val="0"/>
      <w:marBottom w:val="0"/>
      <w:divBdr>
        <w:top w:val="none" w:sz="0" w:space="0" w:color="auto"/>
        <w:left w:val="none" w:sz="0" w:space="0" w:color="auto"/>
        <w:bottom w:val="none" w:sz="0" w:space="0" w:color="auto"/>
        <w:right w:val="none" w:sz="0" w:space="0" w:color="auto"/>
      </w:divBdr>
    </w:div>
    <w:div w:id="491986665">
      <w:bodyDiv w:val="1"/>
      <w:marLeft w:val="0"/>
      <w:marRight w:val="0"/>
      <w:marTop w:val="0"/>
      <w:marBottom w:val="0"/>
      <w:divBdr>
        <w:top w:val="none" w:sz="0" w:space="0" w:color="auto"/>
        <w:left w:val="none" w:sz="0" w:space="0" w:color="auto"/>
        <w:bottom w:val="none" w:sz="0" w:space="0" w:color="auto"/>
        <w:right w:val="none" w:sz="0" w:space="0" w:color="auto"/>
      </w:divBdr>
    </w:div>
    <w:div w:id="591087902">
      <w:bodyDiv w:val="1"/>
      <w:marLeft w:val="0"/>
      <w:marRight w:val="0"/>
      <w:marTop w:val="0"/>
      <w:marBottom w:val="0"/>
      <w:divBdr>
        <w:top w:val="none" w:sz="0" w:space="0" w:color="auto"/>
        <w:left w:val="none" w:sz="0" w:space="0" w:color="auto"/>
        <w:bottom w:val="none" w:sz="0" w:space="0" w:color="auto"/>
        <w:right w:val="none" w:sz="0" w:space="0" w:color="auto"/>
      </w:divBdr>
      <w:divsChild>
        <w:div w:id="1528371707">
          <w:marLeft w:val="1786"/>
          <w:marRight w:val="0"/>
          <w:marTop w:val="0"/>
          <w:marBottom w:val="0"/>
          <w:divBdr>
            <w:top w:val="none" w:sz="0" w:space="0" w:color="auto"/>
            <w:left w:val="none" w:sz="0" w:space="0" w:color="auto"/>
            <w:bottom w:val="none" w:sz="0" w:space="0" w:color="auto"/>
            <w:right w:val="none" w:sz="0" w:space="0" w:color="auto"/>
          </w:divBdr>
        </w:div>
        <w:div w:id="945388347">
          <w:marLeft w:val="1786"/>
          <w:marRight w:val="0"/>
          <w:marTop w:val="0"/>
          <w:marBottom w:val="0"/>
          <w:divBdr>
            <w:top w:val="none" w:sz="0" w:space="0" w:color="auto"/>
            <w:left w:val="none" w:sz="0" w:space="0" w:color="auto"/>
            <w:bottom w:val="none" w:sz="0" w:space="0" w:color="auto"/>
            <w:right w:val="none" w:sz="0" w:space="0" w:color="auto"/>
          </w:divBdr>
        </w:div>
        <w:div w:id="1873566594">
          <w:marLeft w:val="1786"/>
          <w:marRight w:val="0"/>
          <w:marTop w:val="0"/>
          <w:marBottom w:val="0"/>
          <w:divBdr>
            <w:top w:val="none" w:sz="0" w:space="0" w:color="auto"/>
            <w:left w:val="none" w:sz="0" w:space="0" w:color="auto"/>
            <w:bottom w:val="none" w:sz="0" w:space="0" w:color="auto"/>
            <w:right w:val="none" w:sz="0" w:space="0" w:color="auto"/>
          </w:divBdr>
        </w:div>
      </w:divsChild>
    </w:div>
    <w:div w:id="603270584">
      <w:bodyDiv w:val="1"/>
      <w:marLeft w:val="0"/>
      <w:marRight w:val="0"/>
      <w:marTop w:val="0"/>
      <w:marBottom w:val="0"/>
      <w:divBdr>
        <w:top w:val="none" w:sz="0" w:space="0" w:color="auto"/>
        <w:left w:val="none" w:sz="0" w:space="0" w:color="auto"/>
        <w:bottom w:val="none" w:sz="0" w:space="0" w:color="auto"/>
        <w:right w:val="none" w:sz="0" w:space="0" w:color="auto"/>
      </w:divBdr>
    </w:div>
    <w:div w:id="782652170">
      <w:bodyDiv w:val="1"/>
      <w:marLeft w:val="0"/>
      <w:marRight w:val="0"/>
      <w:marTop w:val="0"/>
      <w:marBottom w:val="0"/>
      <w:divBdr>
        <w:top w:val="none" w:sz="0" w:space="0" w:color="auto"/>
        <w:left w:val="none" w:sz="0" w:space="0" w:color="auto"/>
        <w:bottom w:val="none" w:sz="0" w:space="0" w:color="auto"/>
        <w:right w:val="none" w:sz="0" w:space="0" w:color="auto"/>
      </w:divBdr>
    </w:div>
    <w:div w:id="810708682">
      <w:bodyDiv w:val="1"/>
      <w:marLeft w:val="0"/>
      <w:marRight w:val="0"/>
      <w:marTop w:val="0"/>
      <w:marBottom w:val="0"/>
      <w:divBdr>
        <w:top w:val="none" w:sz="0" w:space="0" w:color="auto"/>
        <w:left w:val="none" w:sz="0" w:space="0" w:color="auto"/>
        <w:bottom w:val="none" w:sz="0" w:space="0" w:color="auto"/>
        <w:right w:val="none" w:sz="0" w:space="0" w:color="auto"/>
      </w:divBdr>
    </w:div>
    <w:div w:id="845246221">
      <w:bodyDiv w:val="1"/>
      <w:marLeft w:val="0"/>
      <w:marRight w:val="0"/>
      <w:marTop w:val="0"/>
      <w:marBottom w:val="0"/>
      <w:divBdr>
        <w:top w:val="none" w:sz="0" w:space="0" w:color="auto"/>
        <w:left w:val="none" w:sz="0" w:space="0" w:color="auto"/>
        <w:bottom w:val="none" w:sz="0" w:space="0" w:color="auto"/>
        <w:right w:val="none" w:sz="0" w:space="0" w:color="auto"/>
      </w:divBdr>
    </w:div>
    <w:div w:id="888996089">
      <w:bodyDiv w:val="1"/>
      <w:marLeft w:val="0"/>
      <w:marRight w:val="0"/>
      <w:marTop w:val="0"/>
      <w:marBottom w:val="0"/>
      <w:divBdr>
        <w:top w:val="none" w:sz="0" w:space="0" w:color="auto"/>
        <w:left w:val="none" w:sz="0" w:space="0" w:color="auto"/>
        <w:bottom w:val="none" w:sz="0" w:space="0" w:color="auto"/>
        <w:right w:val="none" w:sz="0" w:space="0" w:color="auto"/>
      </w:divBdr>
      <w:divsChild>
        <w:div w:id="1170870368">
          <w:marLeft w:val="0"/>
          <w:marRight w:val="0"/>
          <w:marTop w:val="0"/>
          <w:marBottom w:val="0"/>
          <w:divBdr>
            <w:top w:val="none" w:sz="0" w:space="0" w:color="auto"/>
            <w:left w:val="none" w:sz="0" w:space="0" w:color="auto"/>
            <w:bottom w:val="none" w:sz="0" w:space="0" w:color="auto"/>
            <w:right w:val="none" w:sz="0" w:space="0" w:color="auto"/>
          </w:divBdr>
          <w:divsChild>
            <w:div w:id="168666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6035">
      <w:bodyDiv w:val="1"/>
      <w:marLeft w:val="0"/>
      <w:marRight w:val="0"/>
      <w:marTop w:val="0"/>
      <w:marBottom w:val="0"/>
      <w:divBdr>
        <w:top w:val="none" w:sz="0" w:space="0" w:color="auto"/>
        <w:left w:val="none" w:sz="0" w:space="0" w:color="auto"/>
        <w:bottom w:val="none" w:sz="0" w:space="0" w:color="auto"/>
        <w:right w:val="none" w:sz="0" w:space="0" w:color="auto"/>
      </w:divBdr>
      <w:divsChild>
        <w:div w:id="1088308524">
          <w:marLeft w:val="547"/>
          <w:marRight w:val="0"/>
          <w:marTop w:val="96"/>
          <w:marBottom w:val="0"/>
          <w:divBdr>
            <w:top w:val="none" w:sz="0" w:space="0" w:color="auto"/>
            <w:left w:val="none" w:sz="0" w:space="0" w:color="auto"/>
            <w:bottom w:val="none" w:sz="0" w:space="0" w:color="auto"/>
            <w:right w:val="none" w:sz="0" w:space="0" w:color="auto"/>
          </w:divBdr>
        </w:div>
      </w:divsChild>
    </w:div>
    <w:div w:id="1085149649">
      <w:bodyDiv w:val="1"/>
      <w:marLeft w:val="0"/>
      <w:marRight w:val="0"/>
      <w:marTop w:val="0"/>
      <w:marBottom w:val="0"/>
      <w:divBdr>
        <w:top w:val="none" w:sz="0" w:space="0" w:color="auto"/>
        <w:left w:val="none" w:sz="0" w:space="0" w:color="auto"/>
        <w:bottom w:val="none" w:sz="0" w:space="0" w:color="auto"/>
        <w:right w:val="none" w:sz="0" w:space="0" w:color="auto"/>
      </w:divBdr>
    </w:div>
    <w:div w:id="1169448568">
      <w:bodyDiv w:val="1"/>
      <w:marLeft w:val="0"/>
      <w:marRight w:val="0"/>
      <w:marTop w:val="0"/>
      <w:marBottom w:val="0"/>
      <w:divBdr>
        <w:top w:val="none" w:sz="0" w:space="0" w:color="auto"/>
        <w:left w:val="none" w:sz="0" w:space="0" w:color="auto"/>
        <w:bottom w:val="none" w:sz="0" w:space="0" w:color="auto"/>
        <w:right w:val="none" w:sz="0" w:space="0" w:color="auto"/>
      </w:divBdr>
    </w:div>
    <w:div w:id="1252204741">
      <w:bodyDiv w:val="1"/>
      <w:marLeft w:val="0"/>
      <w:marRight w:val="0"/>
      <w:marTop w:val="0"/>
      <w:marBottom w:val="0"/>
      <w:divBdr>
        <w:top w:val="none" w:sz="0" w:space="0" w:color="auto"/>
        <w:left w:val="none" w:sz="0" w:space="0" w:color="auto"/>
        <w:bottom w:val="none" w:sz="0" w:space="0" w:color="auto"/>
        <w:right w:val="none" w:sz="0" w:space="0" w:color="auto"/>
      </w:divBdr>
      <w:divsChild>
        <w:div w:id="288898373">
          <w:marLeft w:val="1786"/>
          <w:marRight w:val="0"/>
          <w:marTop w:val="0"/>
          <w:marBottom w:val="0"/>
          <w:divBdr>
            <w:top w:val="none" w:sz="0" w:space="0" w:color="auto"/>
            <w:left w:val="none" w:sz="0" w:space="0" w:color="auto"/>
            <w:bottom w:val="none" w:sz="0" w:space="0" w:color="auto"/>
            <w:right w:val="none" w:sz="0" w:space="0" w:color="auto"/>
          </w:divBdr>
        </w:div>
        <w:div w:id="89554">
          <w:marLeft w:val="1786"/>
          <w:marRight w:val="0"/>
          <w:marTop w:val="0"/>
          <w:marBottom w:val="0"/>
          <w:divBdr>
            <w:top w:val="none" w:sz="0" w:space="0" w:color="auto"/>
            <w:left w:val="none" w:sz="0" w:space="0" w:color="auto"/>
            <w:bottom w:val="none" w:sz="0" w:space="0" w:color="auto"/>
            <w:right w:val="none" w:sz="0" w:space="0" w:color="auto"/>
          </w:divBdr>
        </w:div>
        <w:div w:id="1311129516">
          <w:marLeft w:val="1786"/>
          <w:marRight w:val="0"/>
          <w:marTop w:val="0"/>
          <w:marBottom w:val="0"/>
          <w:divBdr>
            <w:top w:val="none" w:sz="0" w:space="0" w:color="auto"/>
            <w:left w:val="none" w:sz="0" w:space="0" w:color="auto"/>
            <w:bottom w:val="none" w:sz="0" w:space="0" w:color="auto"/>
            <w:right w:val="none" w:sz="0" w:space="0" w:color="auto"/>
          </w:divBdr>
        </w:div>
      </w:divsChild>
    </w:div>
    <w:div w:id="1297838733">
      <w:bodyDiv w:val="1"/>
      <w:marLeft w:val="0"/>
      <w:marRight w:val="0"/>
      <w:marTop w:val="0"/>
      <w:marBottom w:val="0"/>
      <w:divBdr>
        <w:top w:val="none" w:sz="0" w:space="0" w:color="auto"/>
        <w:left w:val="none" w:sz="0" w:space="0" w:color="auto"/>
        <w:bottom w:val="none" w:sz="0" w:space="0" w:color="auto"/>
        <w:right w:val="none" w:sz="0" w:space="0" w:color="auto"/>
      </w:divBdr>
    </w:div>
    <w:div w:id="1304457730">
      <w:bodyDiv w:val="1"/>
      <w:marLeft w:val="0"/>
      <w:marRight w:val="0"/>
      <w:marTop w:val="0"/>
      <w:marBottom w:val="0"/>
      <w:divBdr>
        <w:top w:val="none" w:sz="0" w:space="0" w:color="auto"/>
        <w:left w:val="none" w:sz="0" w:space="0" w:color="auto"/>
        <w:bottom w:val="none" w:sz="0" w:space="0" w:color="auto"/>
        <w:right w:val="none" w:sz="0" w:space="0" w:color="auto"/>
      </w:divBdr>
    </w:div>
    <w:div w:id="1324893068">
      <w:bodyDiv w:val="1"/>
      <w:marLeft w:val="0"/>
      <w:marRight w:val="0"/>
      <w:marTop w:val="0"/>
      <w:marBottom w:val="0"/>
      <w:divBdr>
        <w:top w:val="none" w:sz="0" w:space="0" w:color="auto"/>
        <w:left w:val="none" w:sz="0" w:space="0" w:color="auto"/>
        <w:bottom w:val="none" w:sz="0" w:space="0" w:color="auto"/>
        <w:right w:val="none" w:sz="0" w:space="0" w:color="auto"/>
      </w:divBdr>
    </w:div>
    <w:div w:id="1329552021">
      <w:bodyDiv w:val="1"/>
      <w:marLeft w:val="0"/>
      <w:marRight w:val="0"/>
      <w:marTop w:val="0"/>
      <w:marBottom w:val="0"/>
      <w:divBdr>
        <w:top w:val="none" w:sz="0" w:space="0" w:color="auto"/>
        <w:left w:val="none" w:sz="0" w:space="0" w:color="auto"/>
        <w:bottom w:val="none" w:sz="0" w:space="0" w:color="auto"/>
        <w:right w:val="none" w:sz="0" w:space="0" w:color="auto"/>
      </w:divBdr>
      <w:divsChild>
        <w:div w:id="1174690097">
          <w:marLeft w:val="0"/>
          <w:marRight w:val="0"/>
          <w:marTop w:val="0"/>
          <w:marBottom w:val="0"/>
          <w:divBdr>
            <w:top w:val="none" w:sz="0" w:space="0" w:color="auto"/>
            <w:left w:val="none" w:sz="0" w:space="0" w:color="auto"/>
            <w:bottom w:val="none" w:sz="0" w:space="0" w:color="auto"/>
            <w:right w:val="none" w:sz="0" w:space="0" w:color="auto"/>
          </w:divBdr>
        </w:div>
      </w:divsChild>
    </w:div>
    <w:div w:id="1333874903">
      <w:bodyDiv w:val="1"/>
      <w:marLeft w:val="0"/>
      <w:marRight w:val="0"/>
      <w:marTop w:val="0"/>
      <w:marBottom w:val="0"/>
      <w:divBdr>
        <w:top w:val="none" w:sz="0" w:space="0" w:color="auto"/>
        <w:left w:val="none" w:sz="0" w:space="0" w:color="auto"/>
        <w:bottom w:val="none" w:sz="0" w:space="0" w:color="auto"/>
        <w:right w:val="none" w:sz="0" w:space="0" w:color="auto"/>
      </w:divBdr>
    </w:div>
    <w:div w:id="1346983521">
      <w:bodyDiv w:val="1"/>
      <w:marLeft w:val="0"/>
      <w:marRight w:val="0"/>
      <w:marTop w:val="0"/>
      <w:marBottom w:val="0"/>
      <w:divBdr>
        <w:top w:val="none" w:sz="0" w:space="0" w:color="auto"/>
        <w:left w:val="none" w:sz="0" w:space="0" w:color="auto"/>
        <w:bottom w:val="none" w:sz="0" w:space="0" w:color="auto"/>
        <w:right w:val="none" w:sz="0" w:space="0" w:color="auto"/>
      </w:divBdr>
    </w:div>
    <w:div w:id="1349066801">
      <w:bodyDiv w:val="1"/>
      <w:marLeft w:val="0"/>
      <w:marRight w:val="0"/>
      <w:marTop w:val="0"/>
      <w:marBottom w:val="0"/>
      <w:divBdr>
        <w:top w:val="none" w:sz="0" w:space="0" w:color="auto"/>
        <w:left w:val="none" w:sz="0" w:space="0" w:color="auto"/>
        <w:bottom w:val="none" w:sz="0" w:space="0" w:color="auto"/>
        <w:right w:val="none" w:sz="0" w:space="0" w:color="auto"/>
      </w:divBdr>
    </w:div>
    <w:div w:id="1365328310">
      <w:bodyDiv w:val="1"/>
      <w:marLeft w:val="0"/>
      <w:marRight w:val="0"/>
      <w:marTop w:val="0"/>
      <w:marBottom w:val="0"/>
      <w:divBdr>
        <w:top w:val="none" w:sz="0" w:space="0" w:color="auto"/>
        <w:left w:val="none" w:sz="0" w:space="0" w:color="auto"/>
        <w:bottom w:val="none" w:sz="0" w:space="0" w:color="auto"/>
        <w:right w:val="none" w:sz="0" w:space="0" w:color="auto"/>
      </w:divBdr>
      <w:divsChild>
        <w:div w:id="691758103">
          <w:marLeft w:val="0"/>
          <w:marRight w:val="0"/>
          <w:marTop w:val="0"/>
          <w:marBottom w:val="0"/>
          <w:divBdr>
            <w:top w:val="none" w:sz="0" w:space="0" w:color="auto"/>
            <w:left w:val="none" w:sz="0" w:space="0" w:color="auto"/>
            <w:bottom w:val="none" w:sz="0" w:space="0" w:color="auto"/>
            <w:right w:val="none" w:sz="0" w:space="0" w:color="auto"/>
          </w:divBdr>
          <w:divsChild>
            <w:div w:id="1968391921">
              <w:marLeft w:val="0"/>
              <w:marRight w:val="0"/>
              <w:marTop w:val="0"/>
              <w:marBottom w:val="0"/>
              <w:divBdr>
                <w:top w:val="none" w:sz="0" w:space="0" w:color="auto"/>
                <w:left w:val="none" w:sz="0" w:space="0" w:color="auto"/>
                <w:bottom w:val="none" w:sz="0" w:space="0" w:color="auto"/>
                <w:right w:val="none" w:sz="0" w:space="0" w:color="auto"/>
              </w:divBdr>
            </w:div>
          </w:divsChild>
        </w:div>
        <w:div w:id="1512837198">
          <w:marLeft w:val="0"/>
          <w:marRight w:val="0"/>
          <w:marTop w:val="0"/>
          <w:marBottom w:val="0"/>
          <w:divBdr>
            <w:top w:val="none" w:sz="0" w:space="0" w:color="auto"/>
            <w:left w:val="none" w:sz="0" w:space="0" w:color="auto"/>
            <w:bottom w:val="none" w:sz="0" w:space="0" w:color="auto"/>
            <w:right w:val="none" w:sz="0" w:space="0" w:color="auto"/>
          </w:divBdr>
          <w:divsChild>
            <w:div w:id="1602565146">
              <w:marLeft w:val="0"/>
              <w:marRight w:val="0"/>
              <w:marTop w:val="0"/>
              <w:marBottom w:val="0"/>
              <w:divBdr>
                <w:top w:val="none" w:sz="0" w:space="0" w:color="auto"/>
                <w:left w:val="none" w:sz="0" w:space="0" w:color="auto"/>
                <w:bottom w:val="none" w:sz="0" w:space="0" w:color="auto"/>
                <w:right w:val="none" w:sz="0" w:space="0" w:color="auto"/>
              </w:divBdr>
            </w:div>
          </w:divsChild>
        </w:div>
        <w:div w:id="419176788">
          <w:marLeft w:val="0"/>
          <w:marRight w:val="0"/>
          <w:marTop w:val="0"/>
          <w:marBottom w:val="0"/>
          <w:divBdr>
            <w:top w:val="none" w:sz="0" w:space="0" w:color="auto"/>
            <w:left w:val="none" w:sz="0" w:space="0" w:color="auto"/>
            <w:bottom w:val="none" w:sz="0" w:space="0" w:color="auto"/>
            <w:right w:val="none" w:sz="0" w:space="0" w:color="auto"/>
          </w:divBdr>
          <w:divsChild>
            <w:div w:id="119569704">
              <w:marLeft w:val="0"/>
              <w:marRight w:val="0"/>
              <w:marTop w:val="0"/>
              <w:marBottom w:val="0"/>
              <w:divBdr>
                <w:top w:val="none" w:sz="0" w:space="0" w:color="auto"/>
                <w:left w:val="none" w:sz="0" w:space="0" w:color="auto"/>
                <w:bottom w:val="none" w:sz="0" w:space="0" w:color="auto"/>
                <w:right w:val="none" w:sz="0" w:space="0" w:color="auto"/>
              </w:divBdr>
            </w:div>
          </w:divsChild>
        </w:div>
        <w:div w:id="1918051663">
          <w:marLeft w:val="0"/>
          <w:marRight w:val="0"/>
          <w:marTop w:val="0"/>
          <w:marBottom w:val="0"/>
          <w:divBdr>
            <w:top w:val="none" w:sz="0" w:space="0" w:color="auto"/>
            <w:left w:val="none" w:sz="0" w:space="0" w:color="auto"/>
            <w:bottom w:val="none" w:sz="0" w:space="0" w:color="auto"/>
            <w:right w:val="none" w:sz="0" w:space="0" w:color="auto"/>
          </w:divBdr>
          <w:divsChild>
            <w:div w:id="81160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138387">
      <w:bodyDiv w:val="1"/>
      <w:marLeft w:val="0"/>
      <w:marRight w:val="0"/>
      <w:marTop w:val="0"/>
      <w:marBottom w:val="0"/>
      <w:divBdr>
        <w:top w:val="none" w:sz="0" w:space="0" w:color="auto"/>
        <w:left w:val="none" w:sz="0" w:space="0" w:color="auto"/>
        <w:bottom w:val="none" w:sz="0" w:space="0" w:color="auto"/>
        <w:right w:val="none" w:sz="0" w:space="0" w:color="auto"/>
      </w:divBdr>
    </w:div>
    <w:div w:id="1431463274">
      <w:bodyDiv w:val="1"/>
      <w:marLeft w:val="0"/>
      <w:marRight w:val="0"/>
      <w:marTop w:val="0"/>
      <w:marBottom w:val="0"/>
      <w:divBdr>
        <w:top w:val="none" w:sz="0" w:space="0" w:color="auto"/>
        <w:left w:val="none" w:sz="0" w:space="0" w:color="auto"/>
        <w:bottom w:val="none" w:sz="0" w:space="0" w:color="auto"/>
        <w:right w:val="none" w:sz="0" w:space="0" w:color="auto"/>
      </w:divBdr>
    </w:div>
    <w:div w:id="1439133713">
      <w:bodyDiv w:val="1"/>
      <w:marLeft w:val="0"/>
      <w:marRight w:val="0"/>
      <w:marTop w:val="0"/>
      <w:marBottom w:val="0"/>
      <w:divBdr>
        <w:top w:val="none" w:sz="0" w:space="0" w:color="auto"/>
        <w:left w:val="none" w:sz="0" w:space="0" w:color="auto"/>
        <w:bottom w:val="none" w:sz="0" w:space="0" w:color="auto"/>
        <w:right w:val="none" w:sz="0" w:space="0" w:color="auto"/>
      </w:divBdr>
    </w:div>
    <w:div w:id="1447919330">
      <w:bodyDiv w:val="1"/>
      <w:marLeft w:val="0"/>
      <w:marRight w:val="0"/>
      <w:marTop w:val="0"/>
      <w:marBottom w:val="0"/>
      <w:divBdr>
        <w:top w:val="none" w:sz="0" w:space="0" w:color="auto"/>
        <w:left w:val="none" w:sz="0" w:space="0" w:color="auto"/>
        <w:bottom w:val="none" w:sz="0" w:space="0" w:color="auto"/>
        <w:right w:val="none" w:sz="0" w:space="0" w:color="auto"/>
      </w:divBdr>
    </w:div>
    <w:div w:id="1472668933">
      <w:bodyDiv w:val="1"/>
      <w:marLeft w:val="0"/>
      <w:marRight w:val="0"/>
      <w:marTop w:val="0"/>
      <w:marBottom w:val="0"/>
      <w:divBdr>
        <w:top w:val="none" w:sz="0" w:space="0" w:color="auto"/>
        <w:left w:val="none" w:sz="0" w:space="0" w:color="auto"/>
        <w:bottom w:val="none" w:sz="0" w:space="0" w:color="auto"/>
        <w:right w:val="none" w:sz="0" w:space="0" w:color="auto"/>
      </w:divBdr>
    </w:div>
    <w:div w:id="1529248012">
      <w:bodyDiv w:val="1"/>
      <w:marLeft w:val="0"/>
      <w:marRight w:val="0"/>
      <w:marTop w:val="0"/>
      <w:marBottom w:val="0"/>
      <w:divBdr>
        <w:top w:val="none" w:sz="0" w:space="0" w:color="auto"/>
        <w:left w:val="none" w:sz="0" w:space="0" w:color="auto"/>
        <w:bottom w:val="none" w:sz="0" w:space="0" w:color="auto"/>
        <w:right w:val="none" w:sz="0" w:space="0" w:color="auto"/>
      </w:divBdr>
    </w:div>
    <w:div w:id="1533301556">
      <w:bodyDiv w:val="1"/>
      <w:marLeft w:val="0"/>
      <w:marRight w:val="0"/>
      <w:marTop w:val="0"/>
      <w:marBottom w:val="0"/>
      <w:divBdr>
        <w:top w:val="none" w:sz="0" w:space="0" w:color="auto"/>
        <w:left w:val="none" w:sz="0" w:space="0" w:color="auto"/>
        <w:bottom w:val="none" w:sz="0" w:space="0" w:color="auto"/>
        <w:right w:val="none" w:sz="0" w:space="0" w:color="auto"/>
      </w:divBdr>
    </w:div>
    <w:div w:id="1550457945">
      <w:bodyDiv w:val="1"/>
      <w:marLeft w:val="0"/>
      <w:marRight w:val="0"/>
      <w:marTop w:val="0"/>
      <w:marBottom w:val="0"/>
      <w:divBdr>
        <w:top w:val="none" w:sz="0" w:space="0" w:color="auto"/>
        <w:left w:val="none" w:sz="0" w:space="0" w:color="auto"/>
        <w:bottom w:val="none" w:sz="0" w:space="0" w:color="auto"/>
        <w:right w:val="none" w:sz="0" w:space="0" w:color="auto"/>
      </w:divBdr>
    </w:div>
    <w:div w:id="1643119551">
      <w:bodyDiv w:val="1"/>
      <w:marLeft w:val="0"/>
      <w:marRight w:val="0"/>
      <w:marTop w:val="0"/>
      <w:marBottom w:val="0"/>
      <w:divBdr>
        <w:top w:val="none" w:sz="0" w:space="0" w:color="auto"/>
        <w:left w:val="none" w:sz="0" w:space="0" w:color="auto"/>
        <w:bottom w:val="none" w:sz="0" w:space="0" w:color="auto"/>
        <w:right w:val="none" w:sz="0" w:space="0" w:color="auto"/>
      </w:divBdr>
    </w:div>
    <w:div w:id="1777627427">
      <w:bodyDiv w:val="1"/>
      <w:marLeft w:val="0"/>
      <w:marRight w:val="0"/>
      <w:marTop w:val="0"/>
      <w:marBottom w:val="0"/>
      <w:divBdr>
        <w:top w:val="none" w:sz="0" w:space="0" w:color="auto"/>
        <w:left w:val="none" w:sz="0" w:space="0" w:color="auto"/>
        <w:bottom w:val="none" w:sz="0" w:space="0" w:color="auto"/>
        <w:right w:val="none" w:sz="0" w:space="0" w:color="auto"/>
      </w:divBdr>
    </w:div>
    <w:div w:id="1792358793">
      <w:bodyDiv w:val="1"/>
      <w:marLeft w:val="0"/>
      <w:marRight w:val="0"/>
      <w:marTop w:val="0"/>
      <w:marBottom w:val="0"/>
      <w:divBdr>
        <w:top w:val="none" w:sz="0" w:space="0" w:color="auto"/>
        <w:left w:val="none" w:sz="0" w:space="0" w:color="auto"/>
        <w:bottom w:val="none" w:sz="0" w:space="0" w:color="auto"/>
        <w:right w:val="none" w:sz="0" w:space="0" w:color="auto"/>
      </w:divBdr>
    </w:div>
    <w:div w:id="1823304993">
      <w:bodyDiv w:val="1"/>
      <w:marLeft w:val="0"/>
      <w:marRight w:val="0"/>
      <w:marTop w:val="0"/>
      <w:marBottom w:val="0"/>
      <w:divBdr>
        <w:top w:val="none" w:sz="0" w:space="0" w:color="auto"/>
        <w:left w:val="none" w:sz="0" w:space="0" w:color="auto"/>
        <w:bottom w:val="none" w:sz="0" w:space="0" w:color="auto"/>
        <w:right w:val="none" w:sz="0" w:space="0" w:color="auto"/>
      </w:divBdr>
    </w:div>
    <w:div w:id="1858155817">
      <w:bodyDiv w:val="1"/>
      <w:marLeft w:val="0"/>
      <w:marRight w:val="0"/>
      <w:marTop w:val="0"/>
      <w:marBottom w:val="0"/>
      <w:divBdr>
        <w:top w:val="none" w:sz="0" w:space="0" w:color="auto"/>
        <w:left w:val="none" w:sz="0" w:space="0" w:color="auto"/>
        <w:bottom w:val="none" w:sz="0" w:space="0" w:color="auto"/>
        <w:right w:val="none" w:sz="0" w:space="0" w:color="auto"/>
      </w:divBdr>
    </w:div>
    <w:div w:id="1872693578">
      <w:bodyDiv w:val="1"/>
      <w:marLeft w:val="0"/>
      <w:marRight w:val="0"/>
      <w:marTop w:val="0"/>
      <w:marBottom w:val="0"/>
      <w:divBdr>
        <w:top w:val="none" w:sz="0" w:space="0" w:color="auto"/>
        <w:left w:val="none" w:sz="0" w:space="0" w:color="auto"/>
        <w:bottom w:val="none" w:sz="0" w:space="0" w:color="auto"/>
        <w:right w:val="none" w:sz="0" w:space="0" w:color="auto"/>
      </w:divBdr>
    </w:div>
    <w:div w:id="1905410712">
      <w:bodyDiv w:val="1"/>
      <w:marLeft w:val="0"/>
      <w:marRight w:val="0"/>
      <w:marTop w:val="0"/>
      <w:marBottom w:val="0"/>
      <w:divBdr>
        <w:top w:val="none" w:sz="0" w:space="0" w:color="auto"/>
        <w:left w:val="none" w:sz="0" w:space="0" w:color="auto"/>
        <w:bottom w:val="none" w:sz="0" w:space="0" w:color="auto"/>
        <w:right w:val="none" w:sz="0" w:space="0" w:color="auto"/>
      </w:divBdr>
    </w:div>
    <w:div w:id="1907103760">
      <w:bodyDiv w:val="1"/>
      <w:marLeft w:val="0"/>
      <w:marRight w:val="0"/>
      <w:marTop w:val="0"/>
      <w:marBottom w:val="0"/>
      <w:divBdr>
        <w:top w:val="none" w:sz="0" w:space="0" w:color="auto"/>
        <w:left w:val="none" w:sz="0" w:space="0" w:color="auto"/>
        <w:bottom w:val="none" w:sz="0" w:space="0" w:color="auto"/>
        <w:right w:val="none" w:sz="0" w:space="0" w:color="auto"/>
      </w:divBdr>
    </w:div>
    <w:div w:id="1916284286">
      <w:bodyDiv w:val="1"/>
      <w:marLeft w:val="0"/>
      <w:marRight w:val="0"/>
      <w:marTop w:val="0"/>
      <w:marBottom w:val="0"/>
      <w:divBdr>
        <w:top w:val="none" w:sz="0" w:space="0" w:color="auto"/>
        <w:left w:val="none" w:sz="0" w:space="0" w:color="auto"/>
        <w:bottom w:val="none" w:sz="0" w:space="0" w:color="auto"/>
        <w:right w:val="none" w:sz="0" w:space="0" w:color="auto"/>
      </w:divBdr>
    </w:div>
    <w:div w:id="1922174524">
      <w:bodyDiv w:val="1"/>
      <w:marLeft w:val="0"/>
      <w:marRight w:val="0"/>
      <w:marTop w:val="0"/>
      <w:marBottom w:val="0"/>
      <w:divBdr>
        <w:top w:val="none" w:sz="0" w:space="0" w:color="auto"/>
        <w:left w:val="none" w:sz="0" w:space="0" w:color="auto"/>
        <w:bottom w:val="none" w:sz="0" w:space="0" w:color="auto"/>
        <w:right w:val="none" w:sz="0" w:space="0" w:color="auto"/>
      </w:divBdr>
      <w:divsChild>
        <w:div w:id="2095197629">
          <w:marLeft w:val="0"/>
          <w:marRight w:val="0"/>
          <w:marTop w:val="0"/>
          <w:marBottom w:val="0"/>
          <w:divBdr>
            <w:top w:val="none" w:sz="0" w:space="0" w:color="auto"/>
            <w:left w:val="none" w:sz="0" w:space="0" w:color="auto"/>
            <w:bottom w:val="none" w:sz="0" w:space="0" w:color="auto"/>
            <w:right w:val="none" w:sz="0" w:space="0" w:color="auto"/>
          </w:divBdr>
        </w:div>
        <w:div w:id="1271625574">
          <w:marLeft w:val="0"/>
          <w:marRight w:val="0"/>
          <w:marTop w:val="0"/>
          <w:marBottom w:val="0"/>
          <w:divBdr>
            <w:top w:val="none" w:sz="0" w:space="0" w:color="auto"/>
            <w:left w:val="none" w:sz="0" w:space="0" w:color="auto"/>
            <w:bottom w:val="none" w:sz="0" w:space="0" w:color="auto"/>
            <w:right w:val="none" w:sz="0" w:space="0" w:color="auto"/>
          </w:divBdr>
        </w:div>
        <w:div w:id="237715640">
          <w:marLeft w:val="0"/>
          <w:marRight w:val="0"/>
          <w:marTop w:val="0"/>
          <w:marBottom w:val="0"/>
          <w:divBdr>
            <w:top w:val="none" w:sz="0" w:space="0" w:color="auto"/>
            <w:left w:val="none" w:sz="0" w:space="0" w:color="auto"/>
            <w:bottom w:val="none" w:sz="0" w:space="0" w:color="auto"/>
            <w:right w:val="none" w:sz="0" w:space="0" w:color="auto"/>
          </w:divBdr>
        </w:div>
      </w:divsChild>
    </w:div>
    <w:div w:id="2021740717">
      <w:bodyDiv w:val="1"/>
      <w:marLeft w:val="0"/>
      <w:marRight w:val="0"/>
      <w:marTop w:val="0"/>
      <w:marBottom w:val="0"/>
      <w:divBdr>
        <w:top w:val="none" w:sz="0" w:space="0" w:color="auto"/>
        <w:left w:val="none" w:sz="0" w:space="0" w:color="auto"/>
        <w:bottom w:val="none" w:sz="0" w:space="0" w:color="auto"/>
        <w:right w:val="none" w:sz="0" w:space="0" w:color="auto"/>
      </w:divBdr>
    </w:div>
    <w:div w:id="2030639163">
      <w:bodyDiv w:val="1"/>
      <w:marLeft w:val="0"/>
      <w:marRight w:val="0"/>
      <w:marTop w:val="0"/>
      <w:marBottom w:val="0"/>
      <w:divBdr>
        <w:top w:val="none" w:sz="0" w:space="0" w:color="auto"/>
        <w:left w:val="none" w:sz="0" w:space="0" w:color="auto"/>
        <w:bottom w:val="none" w:sz="0" w:space="0" w:color="auto"/>
        <w:right w:val="none" w:sz="0" w:space="0" w:color="auto"/>
      </w:divBdr>
    </w:div>
    <w:div w:id="2112166453">
      <w:bodyDiv w:val="1"/>
      <w:marLeft w:val="0"/>
      <w:marRight w:val="0"/>
      <w:marTop w:val="0"/>
      <w:marBottom w:val="0"/>
      <w:divBdr>
        <w:top w:val="none" w:sz="0" w:space="0" w:color="auto"/>
        <w:left w:val="none" w:sz="0" w:space="0" w:color="auto"/>
        <w:bottom w:val="none" w:sz="0" w:space="0" w:color="auto"/>
        <w:right w:val="none" w:sz="0" w:space="0" w:color="auto"/>
      </w:divBdr>
    </w:div>
    <w:div w:id="21192553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ip.legalis.pl/document-view.seam?documentId=mfrxilrtg4ytmnbvgu3dkltcmfzwsy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ip.legalis.pl/document-view.seam?documentId=mfrxilrtg4ytmnbvgu3doltcmfzwsy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dokumenty/wytyczne-dotyczace-kwalifikowalnosci-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5" ma:contentTypeDescription="Utwórz nowy dokument." ma:contentTypeScope="" ma:versionID="69f9cc1e14ec1f80438c49100ffa3521">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88b95bc49c625f316e5c5894d232aaf2"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6" ma:contentTypeDescription="Utwórz nowy dokument." ma:contentTypeScope="" ma:versionID="64b1fea017ecba6eba34100890f220ea">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22f71491ec0486cdb9241ff6ad6f5a2f"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A02F3-A89D-40AB-B5AB-73BAEBC73F36}">
  <ds:schemaRefs>
    <ds:schemaRef ds:uri="http://schemas.microsoft.com/office/2006/metadata/properties"/>
    <ds:schemaRef ds:uri="http://schemas.microsoft.com/office/infopath/2007/PartnerControls"/>
    <ds:schemaRef ds:uri="02b634f1-d4b8-44f5-b915-b6b96903ae57"/>
    <ds:schemaRef ds:uri="f10ac06e-816e-4d4c-9e18-e30054a259f2"/>
  </ds:schemaRefs>
</ds:datastoreItem>
</file>

<file path=customXml/itemProps2.xml><?xml version="1.0" encoding="utf-8"?>
<ds:datastoreItem xmlns:ds="http://schemas.openxmlformats.org/officeDocument/2006/customXml" ds:itemID="{FDA2F061-63E9-43B6-A0C8-31788C37C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DD1439-44ED-4615-914B-7FCCCDC7713F}">
  <ds:schemaRefs>
    <ds:schemaRef ds:uri="http://schemas.microsoft.com/sharepoint/v3/contenttype/forms"/>
  </ds:schemaRefs>
</ds:datastoreItem>
</file>

<file path=customXml/itemProps4.xml><?xml version="1.0" encoding="utf-8"?>
<ds:datastoreItem xmlns:ds="http://schemas.openxmlformats.org/officeDocument/2006/customXml" ds:itemID="{2D7C74E8-B7B7-41B1-88AB-4AC7FB63D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E0F137-2982-4AA8-AE96-439785509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29</Pages>
  <Words>8198</Words>
  <Characters>49191</Characters>
  <Application>Microsoft Office Word</Application>
  <DocSecurity>0</DocSecurity>
  <Lines>409</Lines>
  <Paragraphs>114</Paragraphs>
  <ScaleCrop>false</ScaleCrop>
  <HeadingPairs>
    <vt:vector size="2" baseType="variant">
      <vt:variant>
        <vt:lpstr>Tytuł</vt:lpstr>
      </vt:variant>
      <vt:variant>
        <vt:i4>1</vt:i4>
      </vt:variant>
    </vt:vector>
  </HeadingPairs>
  <TitlesOfParts>
    <vt:vector size="1" baseType="lpstr">
      <vt:lpstr>Przewodnik kwalifikowalności wydatków dla 1 priorytetu</vt:lpstr>
    </vt:vector>
  </TitlesOfParts>
  <Company>GOV.PL</Company>
  <LinksUpToDate>false</LinksUpToDate>
  <CharactersWithSpaces>57275</CharactersWithSpaces>
  <SharedDoc>false</SharedDoc>
  <HLinks>
    <vt:vector size="600" baseType="variant">
      <vt:variant>
        <vt:i4>1245242</vt:i4>
      </vt:variant>
      <vt:variant>
        <vt:i4>596</vt:i4>
      </vt:variant>
      <vt:variant>
        <vt:i4>0</vt:i4>
      </vt:variant>
      <vt:variant>
        <vt:i4>5</vt:i4>
      </vt:variant>
      <vt:variant>
        <vt:lpwstr/>
      </vt:variant>
      <vt:variant>
        <vt:lpwstr>_Toc126756879</vt:lpwstr>
      </vt:variant>
      <vt:variant>
        <vt:i4>1245242</vt:i4>
      </vt:variant>
      <vt:variant>
        <vt:i4>590</vt:i4>
      </vt:variant>
      <vt:variant>
        <vt:i4>0</vt:i4>
      </vt:variant>
      <vt:variant>
        <vt:i4>5</vt:i4>
      </vt:variant>
      <vt:variant>
        <vt:lpwstr/>
      </vt:variant>
      <vt:variant>
        <vt:lpwstr>_Toc126756878</vt:lpwstr>
      </vt:variant>
      <vt:variant>
        <vt:i4>1245242</vt:i4>
      </vt:variant>
      <vt:variant>
        <vt:i4>584</vt:i4>
      </vt:variant>
      <vt:variant>
        <vt:i4>0</vt:i4>
      </vt:variant>
      <vt:variant>
        <vt:i4>5</vt:i4>
      </vt:variant>
      <vt:variant>
        <vt:lpwstr/>
      </vt:variant>
      <vt:variant>
        <vt:lpwstr>_Toc126756877</vt:lpwstr>
      </vt:variant>
      <vt:variant>
        <vt:i4>1245242</vt:i4>
      </vt:variant>
      <vt:variant>
        <vt:i4>578</vt:i4>
      </vt:variant>
      <vt:variant>
        <vt:i4>0</vt:i4>
      </vt:variant>
      <vt:variant>
        <vt:i4>5</vt:i4>
      </vt:variant>
      <vt:variant>
        <vt:lpwstr/>
      </vt:variant>
      <vt:variant>
        <vt:lpwstr>_Toc126756876</vt:lpwstr>
      </vt:variant>
      <vt:variant>
        <vt:i4>1245242</vt:i4>
      </vt:variant>
      <vt:variant>
        <vt:i4>572</vt:i4>
      </vt:variant>
      <vt:variant>
        <vt:i4>0</vt:i4>
      </vt:variant>
      <vt:variant>
        <vt:i4>5</vt:i4>
      </vt:variant>
      <vt:variant>
        <vt:lpwstr/>
      </vt:variant>
      <vt:variant>
        <vt:lpwstr>_Toc126756875</vt:lpwstr>
      </vt:variant>
      <vt:variant>
        <vt:i4>1245242</vt:i4>
      </vt:variant>
      <vt:variant>
        <vt:i4>566</vt:i4>
      </vt:variant>
      <vt:variant>
        <vt:i4>0</vt:i4>
      </vt:variant>
      <vt:variant>
        <vt:i4>5</vt:i4>
      </vt:variant>
      <vt:variant>
        <vt:lpwstr/>
      </vt:variant>
      <vt:variant>
        <vt:lpwstr>_Toc126756874</vt:lpwstr>
      </vt:variant>
      <vt:variant>
        <vt:i4>1245242</vt:i4>
      </vt:variant>
      <vt:variant>
        <vt:i4>560</vt:i4>
      </vt:variant>
      <vt:variant>
        <vt:i4>0</vt:i4>
      </vt:variant>
      <vt:variant>
        <vt:i4>5</vt:i4>
      </vt:variant>
      <vt:variant>
        <vt:lpwstr/>
      </vt:variant>
      <vt:variant>
        <vt:lpwstr>_Toc126756873</vt:lpwstr>
      </vt:variant>
      <vt:variant>
        <vt:i4>1245242</vt:i4>
      </vt:variant>
      <vt:variant>
        <vt:i4>554</vt:i4>
      </vt:variant>
      <vt:variant>
        <vt:i4>0</vt:i4>
      </vt:variant>
      <vt:variant>
        <vt:i4>5</vt:i4>
      </vt:variant>
      <vt:variant>
        <vt:lpwstr/>
      </vt:variant>
      <vt:variant>
        <vt:lpwstr>_Toc126756872</vt:lpwstr>
      </vt:variant>
      <vt:variant>
        <vt:i4>1245242</vt:i4>
      </vt:variant>
      <vt:variant>
        <vt:i4>548</vt:i4>
      </vt:variant>
      <vt:variant>
        <vt:i4>0</vt:i4>
      </vt:variant>
      <vt:variant>
        <vt:i4>5</vt:i4>
      </vt:variant>
      <vt:variant>
        <vt:lpwstr/>
      </vt:variant>
      <vt:variant>
        <vt:lpwstr>_Toc126756871</vt:lpwstr>
      </vt:variant>
      <vt:variant>
        <vt:i4>1245242</vt:i4>
      </vt:variant>
      <vt:variant>
        <vt:i4>542</vt:i4>
      </vt:variant>
      <vt:variant>
        <vt:i4>0</vt:i4>
      </vt:variant>
      <vt:variant>
        <vt:i4>5</vt:i4>
      </vt:variant>
      <vt:variant>
        <vt:lpwstr/>
      </vt:variant>
      <vt:variant>
        <vt:lpwstr>_Toc126756870</vt:lpwstr>
      </vt:variant>
      <vt:variant>
        <vt:i4>1179706</vt:i4>
      </vt:variant>
      <vt:variant>
        <vt:i4>536</vt:i4>
      </vt:variant>
      <vt:variant>
        <vt:i4>0</vt:i4>
      </vt:variant>
      <vt:variant>
        <vt:i4>5</vt:i4>
      </vt:variant>
      <vt:variant>
        <vt:lpwstr/>
      </vt:variant>
      <vt:variant>
        <vt:lpwstr>_Toc126756869</vt:lpwstr>
      </vt:variant>
      <vt:variant>
        <vt:i4>1179706</vt:i4>
      </vt:variant>
      <vt:variant>
        <vt:i4>530</vt:i4>
      </vt:variant>
      <vt:variant>
        <vt:i4>0</vt:i4>
      </vt:variant>
      <vt:variant>
        <vt:i4>5</vt:i4>
      </vt:variant>
      <vt:variant>
        <vt:lpwstr/>
      </vt:variant>
      <vt:variant>
        <vt:lpwstr>_Toc126756868</vt:lpwstr>
      </vt:variant>
      <vt:variant>
        <vt:i4>1179706</vt:i4>
      </vt:variant>
      <vt:variant>
        <vt:i4>524</vt:i4>
      </vt:variant>
      <vt:variant>
        <vt:i4>0</vt:i4>
      </vt:variant>
      <vt:variant>
        <vt:i4>5</vt:i4>
      </vt:variant>
      <vt:variant>
        <vt:lpwstr/>
      </vt:variant>
      <vt:variant>
        <vt:lpwstr>_Toc126756867</vt:lpwstr>
      </vt:variant>
      <vt:variant>
        <vt:i4>1179706</vt:i4>
      </vt:variant>
      <vt:variant>
        <vt:i4>518</vt:i4>
      </vt:variant>
      <vt:variant>
        <vt:i4>0</vt:i4>
      </vt:variant>
      <vt:variant>
        <vt:i4>5</vt:i4>
      </vt:variant>
      <vt:variant>
        <vt:lpwstr/>
      </vt:variant>
      <vt:variant>
        <vt:lpwstr>_Toc126756866</vt:lpwstr>
      </vt:variant>
      <vt:variant>
        <vt:i4>1179706</vt:i4>
      </vt:variant>
      <vt:variant>
        <vt:i4>512</vt:i4>
      </vt:variant>
      <vt:variant>
        <vt:i4>0</vt:i4>
      </vt:variant>
      <vt:variant>
        <vt:i4>5</vt:i4>
      </vt:variant>
      <vt:variant>
        <vt:lpwstr/>
      </vt:variant>
      <vt:variant>
        <vt:lpwstr>_Toc126756865</vt:lpwstr>
      </vt:variant>
      <vt:variant>
        <vt:i4>1179706</vt:i4>
      </vt:variant>
      <vt:variant>
        <vt:i4>506</vt:i4>
      </vt:variant>
      <vt:variant>
        <vt:i4>0</vt:i4>
      </vt:variant>
      <vt:variant>
        <vt:i4>5</vt:i4>
      </vt:variant>
      <vt:variant>
        <vt:lpwstr/>
      </vt:variant>
      <vt:variant>
        <vt:lpwstr>_Toc126756864</vt:lpwstr>
      </vt:variant>
      <vt:variant>
        <vt:i4>1179706</vt:i4>
      </vt:variant>
      <vt:variant>
        <vt:i4>500</vt:i4>
      </vt:variant>
      <vt:variant>
        <vt:i4>0</vt:i4>
      </vt:variant>
      <vt:variant>
        <vt:i4>5</vt:i4>
      </vt:variant>
      <vt:variant>
        <vt:lpwstr/>
      </vt:variant>
      <vt:variant>
        <vt:lpwstr>_Toc126756863</vt:lpwstr>
      </vt:variant>
      <vt:variant>
        <vt:i4>1179706</vt:i4>
      </vt:variant>
      <vt:variant>
        <vt:i4>494</vt:i4>
      </vt:variant>
      <vt:variant>
        <vt:i4>0</vt:i4>
      </vt:variant>
      <vt:variant>
        <vt:i4>5</vt:i4>
      </vt:variant>
      <vt:variant>
        <vt:lpwstr/>
      </vt:variant>
      <vt:variant>
        <vt:lpwstr>_Toc126756862</vt:lpwstr>
      </vt:variant>
      <vt:variant>
        <vt:i4>1179706</vt:i4>
      </vt:variant>
      <vt:variant>
        <vt:i4>488</vt:i4>
      </vt:variant>
      <vt:variant>
        <vt:i4>0</vt:i4>
      </vt:variant>
      <vt:variant>
        <vt:i4>5</vt:i4>
      </vt:variant>
      <vt:variant>
        <vt:lpwstr/>
      </vt:variant>
      <vt:variant>
        <vt:lpwstr>_Toc126756861</vt:lpwstr>
      </vt:variant>
      <vt:variant>
        <vt:i4>1179706</vt:i4>
      </vt:variant>
      <vt:variant>
        <vt:i4>482</vt:i4>
      </vt:variant>
      <vt:variant>
        <vt:i4>0</vt:i4>
      </vt:variant>
      <vt:variant>
        <vt:i4>5</vt:i4>
      </vt:variant>
      <vt:variant>
        <vt:lpwstr/>
      </vt:variant>
      <vt:variant>
        <vt:lpwstr>_Toc126756860</vt:lpwstr>
      </vt:variant>
      <vt:variant>
        <vt:i4>1114170</vt:i4>
      </vt:variant>
      <vt:variant>
        <vt:i4>476</vt:i4>
      </vt:variant>
      <vt:variant>
        <vt:i4>0</vt:i4>
      </vt:variant>
      <vt:variant>
        <vt:i4>5</vt:i4>
      </vt:variant>
      <vt:variant>
        <vt:lpwstr/>
      </vt:variant>
      <vt:variant>
        <vt:lpwstr>_Toc126756859</vt:lpwstr>
      </vt:variant>
      <vt:variant>
        <vt:i4>1114170</vt:i4>
      </vt:variant>
      <vt:variant>
        <vt:i4>470</vt:i4>
      </vt:variant>
      <vt:variant>
        <vt:i4>0</vt:i4>
      </vt:variant>
      <vt:variant>
        <vt:i4>5</vt:i4>
      </vt:variant>
      <vt:variant>
        <vt:lpwstr/>
      </vt:variant>
      <vt:variant>
        <vt:lpwstr>_Toc126756858</vt:lpwstr>
      </vt:variant>
      <vt:variant>
        <vt:i4>1114170</vt:i4>
      </vt:variant>
      <vt:variant>
        <vt:i4>464</vt:i4>
      </vt:variant>
      <vt:variant>
        <vt:i4>0</vt:i4>
      </vt:variant>
      <vt:variant>
        <vt:i4>5</vt:i4>
      </vt:variant>
      <vt:variant>
        <vt:lpwstr/>
      </vt:variant>
      <vt:variant>
        <vt:lpwstr>_Toc126756857</vt:lpwstr>
      </vt:variant>
      <vt:variant>
        <vt:i4>1114170</vt:i4>
      </vt:variant>
      <vt:variant>
        <vt:i4>458</vt:i4>
      </vt:variant>
      <vt:variant>
        <vt:i4>0</vt:i4>
      </vt:variant>
      <vt:variant>
        <vt:i4>5</vt:i4>
      </vt:variant>
      <vt:variant>
        <vt:lpwstr/>
      </vt:variant>
      <vt:variant>
        <vt:lpwstr>_Toc126756856</vt:lpwstr>
      </vt:variant>
      <vt:variant>
        <vt:i4>1114170</vt:i4>
      </vt:variant>
      <vt:variant>
        <vt:i4>452</vt:i4>
      </vt:variant>
      <vt:variant>
        <vt:i4>0</vt:i4>
      </vt:variant>
      <vt:variant>
        <vt:i4>5</vt:i4>
      </vt:variant>
      <vt:variant>
        <vt:lpwstr/>
      </vt:variant>
      <vt:variant>
        <vt:lpwstr>_Toc126756855</vt:lpwstr>
      </vt:variant>
      <vt:variant>
        <vt:i4>1114170</vt:i4>
      </vt:variant>
      <vt:variant>
        <vt:i4>446</vt:i4>
      </vt:variant>
      <vt:variant>
        <vt:i4>0</vt:i4>
      </vt:variant>
      <vt:variant>
        <vt:i4>5</vt:i4>
      </vt:variant>
      <vt:variant>
        <vt:lpwstr/>
      </vt:variant>
      <vt:variant>
        <vt:lpwstr>_Toc126756854</vt:lpwstr>
      </vt:variant>
      <vt:variant>
        <vt:i4>1114170</vt:i4>
      </vt:variant>
      <vt:variant>
        <vt:i4>440</vt:i4>
      </vt:variant>
      <vt:variant>
        <vt:i4>0</vt:i4>
      </vt:variant>
      <vt:variant>
        <vt:i4>5</vt:i4>
      </vt:variant>
      <vt:variant>
        <vt:lpwstr/>
      </vt:variant>
      <vt:variant>
        <vt:lpwstr>_Toc126756853</vt:lpwstr>
      </vt:variant>
      <vt:variant>
        <vt:i4>1114170</vt:i4>
      </vt:variant>
      <vt:variant>
        <vt:i4>434</vt:i4>
      </vt:variant>
      <vt:variant>
        <vt:i4>0</vt:i4>
      </vt:variant>
      <vt:variant>
        <vt:i4>5</vt:i4>
      </vt:variant>
      <vt:variant>
        <vt:lpwstr/>
      </vt:variant>
      <vt:variant>
        <vt:lpwstr>_Toc126756852</vt:lpwstr>
      </vt:variant>
      <vt:variant>
        <vt:i4>1114170</vt:i4>
      </vt:variant>
      <vt:variant>
        <vt:i4>428</vt:i4>
      </vt:variant>
      <vt:variant>
        <vt:i4>0</vt:i4>
      </vt:variant>
      <vt:variant>
        <vt:i4>5</vt:i4>
      </vt:variant>
      <vt:variant>
        <vt:lpwstr/>
      </vt:variant>
      <vt:variant>
        <vt:lpwstr>_Toc126756851</vt:lpwstr>
      </vt:variant>
      <vt:variant>
        <vt:i4>1114170</vt:i4>
      </vt:variant>
      <vt:variant>
        <vt:i4>422</vt:i4>
      </vt:variant>
      <vt:variant>
        <vt:i4>0</vt:i4>
      </vt:variant>
      <vt:variant>
        <vt:i4>5</vt:i4>
      </vt:variant>
      <vt:variant>
        <vt:lpwstr/>
      </vt:variant>
      <vt:variant>
        <vt:lpwstr>_Toc126756850</vt:lpwstr>
      </vt:variant>
      <vt:variant>
        <vt:i4>1048634</vt:i4>
      </vt:variant>
      <vt:variant>
        <vt:i4>416</vt:i4>
      </vt:variant>
      <vt:variant>
        <vt:i4>0</vt:i4>
      </vt:variant>
      <vt:variant>
        <vt:i4>5</vt:i4>
      </vt:variant>
      <vt:variant>
        <vt:lpwstr/>
      </vt:variant>
      <vt:variant>
        <vt:lpwstr>_Toc126756849</vt:lpwstr>
      </vt:variant>
      <vt:variant>
        <vt:i4>1048634</vt:i4>
      </vt:variant>
      <vt:variant>
        <vt:i4>410</vt:i4>
      </vt:variant>
      <vt:variant>
        <vt:i4>0</vt:i4>
      </vt:variant>
      <vt:variant>
        <vt:i4>5</vt:i4>
      </vt:variant>
      <vt:variant>
        <vt:lpwstr/>
      </vt:variant>
      <vt:variant>
        <vt:lpwstr>_Toc126756848</vt:lpwstr>
      </vt:variant>
      <vt:variant>
        <vt:i4>1048634</vt:i4>
      </vt:variant>
      <vt:variant>
        <vt:i4>404</vt:i4>
      </vt:variant>
      <vt:variant>
        <vt:i4>0</vt:i4>
      </vt:variant>
      <vt:variant>
        <vt:i4>5</vt:i4>
      </vt:variant>
      <vt:variant>
        <vt:lpwstr/>
      </vt:variant>
      <vt:variant>
        <vt:lpwstr>_Toc126756847</vt:lpwstr>
      </vt:variant>
      <vt:variant>
        <vt:i4>1048634</vt:i4>
      </vt:variant>
      <vt:variant>
        <vt:i4>398</vt:i4>
      </vt:variant>
      <vt:variant>
        <vt:i4>0</vt:i4>
      </vt:variant>
      <vt:variant>
        <vt:i4>5</vt:i4>
      </vt:variant>
      <vt:variant>
        <vt:lpwstr/>
      </vt:variant>
      <vt:variant>
        <vt:lpwstr>_Toc126756846</vt:lpwstr>
      </vt:variant>
      <vt:variant>
        <vt:i4>1048634</vt:i4>
      </vt:variant>
      <vt:variant>
        <vt:i4>392</vt:i4>
      </vt:variant>
      <vt:variant>
        <vt:i4>0</vt:i4>
      </vt:variant>
      <vt:variant>
        <vt:i4>5</vt:i4>
      </vt:variant>
      <vt:variant>
        <vt:lpwstr/>
      </vt:variant>
      <vt:variant>
        <vt:lpwstr>_Toc126756845</vt:lpwstr>
      </vt:variant>
      <vt:variant>
        <vt:i4>1048634</vt:i4>
      </vt:variant>
      <vt:variant>
        <vt:i4>386</vt:i4>
      </vt:variant>
      <vt:variant>
        <vt:i4>0</vt:i4>
      </vt:variant>
      <vt:variant>
        <vt:i4>5</vt:i4>
      </vt:variant>
      <vt:variant>
        <vt:lpwstr/>
      </vt:variant>
      <vt:variant>
        <vt:lpwstr>_Toc126756844</vt:lpwstr>
      </vt:variant>
      <vt:variant>
        <vt:i4>1048634</vt:i4>
      </vt:variant>
      <vt:variant>
        <vt:i4>380</vt:i4>
      </vt:variant>
      <vt:variant>
        <vt:i4>0</vt:i4>
      </vt:variant>
      <vt:variant>
        <vt:i4>5</vt:i4>
      </vt:variant>
      <vt:variant>
        <vt:lpwstr/>
      </vt:variant>
      <vt:variant>
        <vt:lpwstr>_Toc126756843</vt:lpwstr>
      </vt:variant>
      <vt:variant>
        <vt:i4>1048634</vt:i4>
      </vt:variant>
      <vt:variant>
        <vt:i4>374</vt:i4>
      </vt:variant>
      <vt:variant>
        <vt:i4>0</vt:i4>
      </vt:variant>
      <vt:variant>
        <vt:i4>5</vt:i4>
      </vt:variant>
      <vt:variant>
        <vt:lpwstr/>
      </vt:variant>
      <vt:variant>
        <vt:lpwstr>_Toc126756842</vt:lpwstr>
      </vt:variant>
      <vt:variant>
        <vt:i4>1048634</vt:i4>
      </vt:variant>
      <vt:variant>
        <vt:i4>368</vt:i4>
      </vt:variant>
      <vt:variant>
        <vt:i4>0</vt:i4>
      </vt:variant>
      <vt:variant>
        <vt:i4>5</vt:i4>
      </vt:variant>
      <vt:variant>
        <vt:lpwstr/>
      </vt:variant>
      <vt:variant>
        <vt:lpwstr>_Toc126756841</vt:lpwstr>
      </vt:variant>
      <vt:variant>
        <vt:i4>1048634</vt:i4>
      </vt:variant>
      <vt:variant>
        <vt:i4>362</vt:i4>
      </vt:variant>
      <vt:variant>
        <vt:i4>0</vt:i4>
      </vt:variant>
      <vt:variant>
        <vt:i4>5</vt:i4>
      </vt:variant>
      <vt:variant>
        <vt:lpwstr/>
      </vt:variant>
      <vt:variant>
        <vt:lpwstr>_Toc126756840</vt:lpwstr>
      </vt:variant>
      <vt:variant>
        <vt:i4>1507386</vt:i4>
      </vt:variant>
      <vt:variant>
        <vt:i4>356</vt:i4>
      </vt:variant>
      <vt:variant>
        <vt:i4>0</vt:i4>
      </vt:variant>
      <vt:variant>
        <vt:i4>5</vt:i4>
      </vt:variant>
      <vt:variant>
        <vt:lpwstr/>
      </vt:variant>
      <vt:variant>
        <vt:lpwstr>_Toc126756839</vt:lpwstr>
      </vt:variant>
      <vt:variant>
        <vt:i4>1507386</vt:i4>
      </vt:variant>
      <vt:variant>
        <vt:i4>350</vt:i4>
      </vt:variant>
      <vt:variant>
        <vt:i4>0</vt:i4>
      </vt:variant>
      <vt:variant>
        <vt:i4>5</vt:i4>
      </vt:variant>
      <vt:variant>
        <vt:lpwstr/>
      </vt:variant>
      <vt:variant>
        <vt:lpwstr>_Toc126756838</vt:lpwstr>
      </vt:variant>
      <vt:variant>
        <vt:i4>1507386</vt:i4>
      </vt:variant>
      <vt:variant>
        <vt:i4>344</vt:i4>
      </vt:variant>
      <vt:variant>
        <vt:i4>0</vt:i4>
      </vt:variant>
      <vt:variant>
        <vt:i4>5</vt:i4>
      </vt:variant>
      <vt:variant>
        <vt:lpwstr/>
      </vt:variant>
      <vt:variant>
        <vt:lpwstr>_Toc126756837</vt:lpwstr>
      </vt:variant>
      <vt:variant>
        <vt:i4>1507386</vt:i4>
      </vt:variant>
      <vt:variant>
        <vt:i4>338</vt:i4>
      </vt:variant>
      <vt:variant>
        <vt:i4>0</vt:i4>
      </vt:variant>
      <vt:variant>
        <vt:i4>5</vt:i4>
      </vt:variant>
      <vt:variant>
        <vt:lpwstr/>
      </vt:variant>
      <vt:variant>
        <vt:lpwstr>_Toc126756836</vt:lpwstr>
      </vt:variant>
      <vt:variant>
        <vt:i4>1507386</vt:i4>
      </vt:variant>
      <vt:variant>
        <vt:i4>332</vt:i4>
      </vt:variant>
      <vt:variant>
        <vt:i4>0</vt:i4>
      </vt:variant>
      <vt:variant>
        <vt:i4>5</vt:i4>
      </vt:variant>
      <vt:variant>
        <vt:lpwstr/>
      </vt:variant>
      <vt:variant>
        <vt:lpwstr>_Toc126756835</vt:lpwstr>
      </vt:variant>
      <vt:variant>
        <vt:i4>1507386</vt:i4>
      </vt:variant>
      <vt:variant>
        <vt:i4>326</vt:i4>
      </vt:variant>
      <vt:variant>
        <vt:i4>0</vt:i4>
      </vt:variant>
      <vt:variant>
        <vt:i4>5</vt:i4>
      </vt:variant>
      <vt:variant>
        <vt:lpwstr/>
      </vt:variant>
      <vt:variant>
        <vt:lpwstr>_Toc126756834</vt:lpwstr>
      </vt:variant>
      <vt:variant>
        <vt:i4>1507386</vt:i4>
      </vt:variant>
      <vt:variant>
        <vt:i4>320</vt:i4>
      </vt:variant>
      <vt:variant>
        <vt:i4>0</vt:i4>
      </vt:variant>
      <vt:variant>
        <vt:i4>5</vt:i4>
      </vt:variant>
      <vt:variant>
        <vt:lpwstr/>
      </vt:variant>
      <vt:variant>
        <vt:lpwstr>_Toc126756833</vt:lpwstr>
      </vt:variant>
      <vt:variant>
        <vt:i4>1507386</vt:i4>
      </vt:variant>
      <vt:variant>
        <vt:i4>314</vt:i4>
      </vt:variant>
      <vt:variant>
        <vt:i4>0</vt:i4>
      </vt:variant>
      <vt:variant>
        <vt:i4>5</vt:i4>
      </vt:variant>
      <vt:variant>
        <vt:lpwstr/>
      </vt:variant>
      <vt:variant>
        <vt:lpwstr>_Toc126756832</vt:lpwstr>
      </vt:variant>
      <vt:variant>
        <vt:i4>1507386</vt:i4>
      </vt:variant>
      <vt:variant>
        <vt:i4>308</vt:i4>
      </vt:variant>
      <vt:variant>
        <vt:i4>0</vt:i4>
      </vt:variant>
      <vt:variant>
        <vt:i4>5</vt:i4>
      </vt:variant>
      <vt:variant>
        <vt:lpwstr/>
      </vt:variant>
      <vt:variant>
        <vt:lpwstr>_Toc126756831</vt:lpwstr>
      </vt:variant>
      <vt:variant>
        <vt:i4>1507386</vt:i4>
      </vt:variant>
      <vt:variant>
        <vt:i4>302</vt:i4>
      </vt:variant>
      <vt:variant>
        <vt:i4>0</vt:i4>
      </vt:variant>
      <vt:variant>
        <vt:i4>5</vt:i4>
      </vt:variant>
      <vt:variant>
        <vt:lpwstr/>
      </vt:variant>
      <vt:variant>
        <vt:lpwstr>_Toc126756830</vt:lpwstr>
      </vt:variant>
      <vt:variant>
        <vt:i4>1441850</vt:i4>
      </vt:variant>
      <vt:variant>
        <vt:i4>296</vt:i4>
      </vt:variant>
      <vt:variant>
        <vt:i4>0</vt:i4>
      </vt:variant>
      <vt:variant>
        <vt:i4>5</vt:i4>
      </vt:variant>
      <vt:variant>
        <vt:lpwstr/>
      </vt:variant>
      <vt:variant>
        <vt:lpwstr>_Toc126756829</vt:lpwstr>
      </vt:variant>
      <vt:variant>
        <vt:i4>1441850</vt:i4>
      </vt:variant>
      <vt:variant>
        <vt:i4>290</vt:i4>
      </vt:variant>
      <vt:variant>
        <vt:i4>0</vt:i4>
      </vt:variant>
      <vt:variant>
        <vt:i4>5</vt:i4>
      </vt:variant>
      <vt:variant>
        <vt:lpwstr/>
      </vt:variant>
      <vt:variant>
        <vt:lpwstr>_Toc126756828</vt:lpwstr>
      </vt:variant>
      <vt:variant>
        <vt:i4>1441850</vt:i4>
      </vt:variant>
      <vt:variant>
        <vt:i4>284</vt:i4>
      </vt:variant>
      <vt:variant>
        <vt:i4>0</vt:i4>
      </vt:variant>
      <vt:variant>
        <vt:i4>5</vt:i4>
      </vt:variant>
      <vt:variant>
        <vt:lpwstr/>
      </vt:variant>
      <vt:variant>
        <vt:lpwstr>_Toc126756827</vt:lpwstr>
      </vt:variant>
      <vt:variant>
        <vt:i4>1441850</vt:i4>
      </vt:variant>
      <vt:variant>
        <vt:i4>278</vt:i4>
      </vt:variant>
      <vt:variant>
        <vt:i4>0</vt:i4>
      </vt:variant>
      <vt:variant>
        <vt:i4>5</vt:i4>
      </vt:variant>
      <vt:variant>
        <vt:lpwstr/>
      </vt:variant>
      <vt:variant>
        <vt:lpwstr>_Toc126756826</vt:lpwstr>
      </vt:variant>
      <vt:variant>
        <vt:i4>1441850</vt:i4>
      </vt:variant>
      <vt:variant>
        <vt:i4>272</vt:i4>
      </vt:variant>
      <vt:variant>
        <vt:i4>0</vt:i4>
      </vt:variant>
      <vt:variant>
        <vt:i4>5</vt:i4>
      </vt:variant>
      <vt:variant>
        <vt:lpwstr/>
      </vt:variant>
      <vt:variant>
        <vt:lpwstr>_Toc126756825</vt:lpwstr>
      </vt:variant>
      <vt:variant>
        <vt:i4>1441850</vt:i4>
      </vt:variant>
      <vt:variant>
        <vt:i4>266</vt:i4>
      </vt:variant>
      <vt:variant>
        <vt:i4>0</vt:i4>
      </vt:variant>
      <vt:variant>
        <vt:i4>5</vt:i4>
      </vt:variant>
      <vt:variant>
        <vt:lpwstr/>
      </vt:variant>
      <vt:variant>
        <vt:lpwstr>_Toc126756824</vt:lpwstr>
      </vt:variant>
      <vt:variant>
        <vt:i4>1441850</vt:i4>
      </vt:variant>
      <vt:variant>
        <vt:i4>260</vt:i4>
      </vt:variant>
      <vt:variant>
        <vt:i4>0</vt:i4>
      </vt:variant>
      <vt:variant>
        <vt:i4>5</vt:i4>
      </vt:variant>
      <vt:variant>
        <vt:lpwstr/>
      </vt:variant>
      <vt:variant>
        <vt:lpwstr>_Toc126756823</vt:lpwstr>
      </vt:variant>
      <vt:variant>
        <vt:i4>1441850</vt:i4>
      </vt:variant>
      <vt:variant>
        <vt:i4>254</vt:i4>
      </vt:variant>
      <vt:variant>
        <vt:i4>0</vt:i4>
      </vt:variant>
      <vt:variant>
        <vt:i4>5</vt:i4>
      </vt:variant>
      <vt:variant>
        <vt:lpwstr/>
      </vt:variant>
      <vt:variant>
        <vt:lpwstr>_Toc126756822</vt:lpwstr>
      </vt:variant>
      <vt:variant>
        <vt:i4>1441850</vt:i4>
      </vt:variant>
      <vt:variant>
        <vt:i4>248</vt:i4>
      </vt:variant>
      <vt:variant>
        <vt:i4>0</vt:i4>
      </vt:variant>
      <vt:variant>
        <vt:i4>5</vt:i4>
      </vt:variant>
      <vt:variant>
        <vt:lpwstr/>
      </vt:variant>
      <vt:variant>
        <vt:lpwstr>_Toc126756821</vt:lpwstr>
      </vt:variant>
      <vt:variant>
        <vt:i4>1441850</vt:i4>
      </vt:variant>
      <vt:variant>
        <vt:i4>242</vt:i4>
      </vt:variant>
      <vt:variant>
        <vt:i4>0</vt:i4>
      </vt:variant>
      <vt:variant>
        <vt:i4>5</vt:i4>
      </vt:variant>
      <vt:variant>
        <vt:lpwstr/>
      </vt:variant>
      <vt:variant>
        <vt:lpwstr>_Toc126756820</vt:lpwstr>
      </vt:variant>
      <vt:variant>
        <vt:i4>1376314</vt:i4>
      </vt:variant>
      <vt:variant>
        <vt:i4>236</vt:i4>
      </vt:variant>
      <vt:variant>
        <vt:i4>0</vt:i4>
      </vt:variant>
      <vt:variant>
        <vt:i4>5</vt:i4>
      </vt:variant>
      <vt:variant>
        <vt:lpwstr/>
      </vt:variant>
      <vt:variant>
        <vt:lpwstr>_Toc126756819</vt:lpwstr>
      </vt:variant>
      <vt:variant>
        <vt:i4>1376314</vt:i4>
      </vt:variant>
      <vt:variant>
        <vt:i4>230</vt:i4>
      </vt:variant>
      <vt:variant>
        <vt:i4>0</vt:i4>
      </vt:variant>
      <vt:variant>
        <vt:i4>5</vt:i4>
      </vt:variant>
      <vt:variant>
        <vt:lpwstr/>
      </vt:variant>
      <vt:variant>
        <vt:lpwstr>_Toc126756818</vt:lpwstr>
      </vt:variant>
      <vt:variant>
        <vt:i4>1376314</vt:i4>
      </vt:variant>
      <vt:variant>
        <vt:i4>224</vt:i4>
      </vt:variant>
      <vt:variant>
        <vt:i4>0</vt:i4>
      </vt:variant>
      <vt:variant>
        <vt:i4>5</vt:i4>
      </vt:variant>
      <vt:variant>
        <vt:lpwstr/>
      </vt:variant>
      <vt:variant>
        <vt:lpwstr>_Toc126756817</vt:lpwstr>
      </vt:variant>
      <vt:variant>
        <vt:i4>1376314</vt:i4>
      </vt:variant>
      <vt:variant>
        <vt:i4>218</vt:i4>
      </vt:variant>
      <vt:variant>
        <vt:i4>0</vt:i4>
      </vt:variant>
      <vt:variant>
        <vt:i4>5</vt:i4>
      </vt:variant>
      <vt:variant>
        <vt:lpwstr/>
      </vt:variant>
      <vt:variant>
        <vt:lpwstr>_Toc126756816</vt:lpwstr>
      </vt:variant>
      <vt:variant>
        <vt:i4>1376314</vt:i4>
      </vt:variant>
      <vt:variant>
        <vt:i4>212</vt:i4>
      </vt:variant>
      <vt:variant>
        <vt:i4>0</vt:i4>
      </vt:variant>
      <vt:variant>
        <vt:i4>5</vt:i4>
      </vt:variant>
      <vt:variant>
        <vt:lpwstr/>
      </vt:variant>
      <vt:variant>
        <vt:lpwstr>_Toc126756815</vt:lpwstr>
      </vt:variant>
      <vt:variant>
        <vt:i4>1376314</vt:i4>
      </vt:variant>
      <vt:variant>
        <vt:i4>206</vt:i4>
      </vt:variant>
      <vt:variant>
        <vt:i4>0</vt:i4>
      </vt:variant>
      <vt:variant>
        <vt:i4>5</vt:i4>
      </vt:variant>
      <vt:variant>
        <vt:lpwstr/>
      </vt:variant>
      <vt:variant>
        <vt:lpwstr>_Toc126756814</vt:lpwstr>
      </vt:variant>
      <vt:variant>
        <vt:i4>1376314</vt:i4>
      </vt:variant>
      <vt:variant>
        <vt:i4>200</vt:i4>
      </vt:variant>
      <vt:variant>
        <vt:i4>0</vt:i4>
      </vt:variant>
      <vt:variant>
        <vt:i4>5</vt:i4>
      </vt:variant>
      <vt:variant>
        <vt:lpwstr/>
      </vt:variant>
      <vt:variant>
        <vt:lpwstr>_Toc126756813</vt:lpwstr>
      </vt:variant>
      <vt:variant>
        <vt:i4>1376314</vt:i4>
      </vt:variant>
      <vt:variant>
        <vt:i4>194</vt:i4>
      </vt:variant>
      <vt:variant>
        <vt:i4>0</vt:i4>
      </vt:variant>
      <vt:variant>
        <vt:i4>5</vt:i4>
      </vt:variant>
      <vt:variant>
        <vt:lpwstr/>
      </vt:variant>
      <vt:variant>
        <vt:lpwstr>_Toc126756812</vt:lpwstr>
      </vt:variant>
      <vt:variant>
        <vt:i4>1376314</vt:i4>
      </vt:variant>
      <vt:variant>
        <vt:i4>188</vt:i4>
      </vt:variant>
      <vt:variant>
        <vt:i4>0</vt:i4>
      </vt:variant>
      <vt:variant>
        <vt:i4>5</vt:i4>
      </vt:variant>
      <vt:variant>
        <vt:lpwstr/>
      </vt:variant>
      <vt:variant>
        <vt:lpwstr>_Toc126756811</vt:lpwstr>
      </vt:variant>
      <vt:variant>
        <vt:i4>1376314</vt:i4>
      </vt:variant>
      <vt:variant>
        <vt:i4>182</vt:i4>
      </vt:variant>
      <vt:variant>
        <vt:i4>0</vt:i4>
      </vt:variant>
      <vt:variant>
        <vt:i4>5</vt:i4>
      </vt:variant>
      <vt:variant>
        <vt:lpwstr/>
      </vt:variant>
      <vt:variant>
        <vt:lpwstr>_Toc126756810</vt:lpwstr>
      </vt:variant>
      <vt:variant>
        <vt:i4>1310778</vt:i4>
      </vt:variant>
      <vt:variant>
        <vt:i4>176</vt:i4>
      </vt:variant>
      <vt:variant>
        <vt:i4>0</vt:i4>
      </vt:variant>
      <vt:variant>
        <vt:i4>5</vt:i4>
      </vt:variant>
      <vt:variant>
        <vt:lpwstr/>
      </vt:variant>
      <vt:variant>
        <vt:lpwstr>_Toc126756809</vt:lpwstr>
      </vt:variant>
      <vt:variant>
        <vt:i4>1310778</vt:i4>
      </vt:variant>
      <vt:variant>
        <vt:i4>170</vt:i4>
      </vt:variant>
      <vt:variant>
        <vt:i4>0</vt:i4>
      </vt:variant>
      <vt:variant>
        <vt:i4>5</vt:i4>
      </vt:variant>
      <vt:variant>
        <vt:lpwstr/>
      </vt:variant>
      <vt:variant>
        <vt:lpwstr>_Toc126756808</vt:lpwstr>
      </vt:variant>
      <vt:variant>
        <vt:i4>1310778</vt:i4>
      </vt:variant>
      <vt:variant>
        <vt:i4>164</vt:i4>
      </vt:variant>
      <vt:variant>
        <vt:i4>0</vt:i4>
      </vt:variant>
      <vt:variant>
        <vt:i4>5</vt:i4>
      </vt:variant>
      <vt:variant>
        <vt:lpwstr/>
      </vt:variant>
      <vt:variant>
        <vt:lpwstr>_Toc126756807</vt:lpwstr>
      </vt:variant>
      <vt:variant>
        <vt:i4>1310778</vt:i4>
      </vt:variant>
      <vt:variant>
        <vt:i4>158</vt:i4>
      </vt:variant>
      <vt:variant>
        <vt:i4>0</vt:i4>
      </vt:variant>
      <vt:variant>
        <vt:i4>5</vt:i4>
      </vt:variant>
      <vt:variant>
        <vt:lpwstr/>
      </vt:variant>
      <vt:variant>
        <vt:lpwstr>_Toc126756806</vt:lpwstr>
      </vt:variant>
      <vt:variant>
        <vt:i4>1310778</vt:i4>
      </vt:variant>
      <vt:variant>
        <vt:i4>152</vt:i4>
      </vt:variant>
      <vt:variant>
        <vt:i4>0</vt:i4>
      </vt:variant>
      <vt:variant>
        <vt:i4>5</vt:i4>
      </vt:variant>
      <vt:variant>
        <vt:lpwstr/>
      </vt:variant>
      <vt:variant>
        <vt:lpwstr>_Toc126756805</vt:lpwstr>
      </vt:variant>
      <vt:variant>
        <vt:i4>1310778</vt:i4>
      </vt:variant>
      <vt:variant>
        <vt:i4>146</vt:i4>
      </vt:variant>
      <vt:variant>
        <vt:i4>0</vt:i4>
      </vt:variant>
      <vt:variant>
        <vt:i4>5</vt:i4>
      </vt:variant>
      <vt:variant>
        <vt:lpwstr/>
      </vt:variant>
      <vt:variant>
        <vt:lpwstr>_Toc126756804</vt:lpwstr>
      </vt:variant>
      <vt:variant>
        <vt:i4>1310778</vt:i4>
      </vt:variant>
      <vt:variant>
        <vt:i4>140</vt:i4>
      </vt:variant>
      <vt:variant>
        <vt:i4>0</vt:i4>
      </vt:variant>
      <vt:variant>
        <vt:i4>5</vt:i4>
      </vt:variant>
      <vt:variant>
        <vt:lpwstr/>
      </vt:variant>
      <vt:variant>
        <vt:lpwstr>_Toc126756803</vt:lpwstr>
      </vt:variant>
      <vt:variant>
        <vt:i4>1310778</vt:i4>
      </vt:variant>
      <vt:variant>
        <vt:i4>134</vt:i4>
      </vt:variant>
      <vt:variant>
        <vt:i4>0</vt:i4>
      </vt:variant>
      <vt:variant>
        <vt:i4>5</vt:i4>
      </vt:variant>
      <vt:variant>
        <vt:lpwstr/>
      </vt:variant>
      <vt:variant>
        <vt:lpwstr>_Toc126756802</vt:lpwstr>
      </vt:variant>
      <vt:variant>
        <vt:i4>1310778</vt:i4>
      </vt:variant>
      <vt:variant>
        <vt:i4>128</vt:i4>
      </vt:variant>
      <vt:variant>
        <vt:i4>0</vt:i4>
      </vt:variant>
      <vt:variant>
        <vt:i4>5</vt:i4>
      </vt:variant>
      <vt:variant>
        <vt:lpwstr/>
      </vt:variant>
      <vt:variant>
        <vt:lpwstr>_Toc126756801</vt:lpwstr>
      </vt:variant>
      <vt:variant>
        <vt:i4>1310778</vt:i4>
      </vt:variant>
      <vt:variant>
        <vt:i4>122</vt:i4>
      </vt:variant>
      <vt:variant>
        <vt:i4>0</vt:i4>
      </vt:variant>
      <vt:variant>
        <vt:i4>5</vt:i4>
      </vt:variant>
      <vt:variant>
        <vt:lpwstr/>
      </vt:variant>
      <vt:variant>
        <vt:lpwstr>_Toc126756800</vt:lpwstr>
      </vt:variant>
      <vt:variant>
        <vt:i4>1900597</vt:i4>
      </vt:variant>
      <vt:variant>
        <vt:i4>116</vt:i4>
      </vt:variant>
      <vt:variant>
        <vt:i4>0</vt:i4>
      </vt:variant>
      <vt:variant>
        <vt:i4>5</vt:i4>
      </vt:variant>
      <vt:variant>
        <vt:lpwstr/>
      </vt:variant>
      <vt:variant>
        <vt:lpwstr>_Toc126756799</vt:lpwstr>
      </vt:variant>
      <vt:variant>
        <vt:i4>1900597</vt:i4>
      </vt:variant>
      <vt:variant>
        <vt:i4>110</vt:i4>
      </vt:variant>
      <vt:variant>
        <vt:i4>0</vt:i4>
      </vt:variant>
      <vt:variant>
        <vt:i4>5</vt:i4>
      </vt:variant>
      <vt:variant>
        <vt:lpwstr/>
      </vt:variant>
      <vt:variant>
        <vt:lpwstr>_Toc126756798</vt:lpwstr>
      </vt:variant>
      <vt:variant>
        <vt:i4>1900597</vt:i4>
      </vt:variant>
      <vt:variant>
        <vt:i4>104</vt:i4>
      </vt:variant>
      <vt:variant>
        <vt:i4>0</vt:i4>
      </vt:variant>
      <vt:variant>
        <vt:i4>5</vt:i4>
      </vt:variant>
      <vt:variant>
        <vt:lpwstr/>
      </vt:variant>
      <vt:variant>
        <vt:lpwstr>_Toc126756797</vt:lpwstr>
      </vt:variant>
      <vt:variant>
        <vt:i4>1900597</vt:i4>
      </vt:variant>
      <vt:variant>
        <vt:i4>98</vt:i4>
      </vt:variant>
      <vt:variant>
        <vt:i4>0</vt:i4>
      </vt:variant>
      <vt:variant>
        <vt:i4>5</vt:i4>
      </vt:variant>
      <vt:variant>
        <vt:lpwstr/>
      </vt:variant>
      <vt:variant>
        <vt:lpwstr>_Toc126756796</vt:lpwstr>
      </vt:variant>
      <vt:variant>
        <vt:i4>1900597</vt:i4>
      </vt:variant>
      <vt:variant>
        <vt:i4>92</vt:i4>
      </vt:variant>
      <vt:variant>
        <vt:i4>0</vt:i4>
      </vt:variant>
      <vt:variant>
        <vt:i4>5</vt:i4>
      </vt:variant>
      <vt:variant>
        <vt:lpwstr/>
      </vt:variant>
      <vt:variant>
        <vt:lpwstr>_Toc126756795</vt:lpwstr>
      </vt:variant>
      <vt:variant>
        <vt:i4>1900597</vt:i4>
      </vt:variant>
      <vt:variant>
        <vt:i4>86</vt:i4>
      </vt:variant>
      <vt:variant>
        <vt:i4>0</vt:i4>
      </vt:variant>
      <vt:variant>
        <vt:i4>5</vt:i4>
      </vt:variant>
      <vt:variant>
        <vt:lpwstr/>
      </vt:variant>
      <vt:variant>
        <vt:lpwstr>_Toc126756794</vt:lpwstr>
      </vt:variant>
      <vt:variant>
        <vt:i4>1900597</vt:i4>
      </vt:variant>
      <vt:variant>
        <vt:i4>80</vt:i4>
      </vt:variant>
      <vt:variant>
        <vt:i4>0</vt:i4>
      </vt:variant>
      <vt:variant>
        <vt:i4>5</vt:i4>
      </vt:variant>
      <vt:variant>
        <vt:lpwstr/>
      </vt:variant>
      <vt:variant>
        <vt:lpwstr>_Toc126756793</vt:lpwstr>
      </vt:variant>
      <vt:variant>
        <vt:i4>1900597</vt:i4>
      </vt:variant>
      <vt:variant>
        <vt:i4>74</vt:i4>
      </vt:variant>
      <vt:variant>
        <vt:i4>0</vt:i4>
      </vt:variant>
      <vt:variant>
        <vt:i4>5</vt:i4>
      </vt:variant>
      <vt:variant>
        <vt:lpwstr/>
      </vt:variant>
      <vt:variant>
        <vt:lpwstr>_Toc126756792</vt:lpwstr>
      </vt:variant>
      <vt:variant>
        <vt:i4>1900597</vt:i4>
      </vt:variant>
      <vt:variant>
        <vt:i4>68</vt:i4>
      </vt:variant>
      <vt:variant>
        <vt:i4>0</vt:i4>
      </vt:variant>
      <vt:variant>
        <vt:i4>5</vt:i4>
      </vt:variant>
      <vt:variant>
        <vt:lpwstr/>
      </vt:variant>
      <vt:variant>
        <vt:lpwstr>_Toc126756791</vt:lpwstr>
      </vt:variant>
      <vt:variant>
        <vt:i4>1900597</vt:i4>
      </vt:variant>
      <vt:variant>
        <vt:i4>62</vt:i4>
      </vt:variant>
      <vt:variant>
        <vt:i4>0</vt:i4>
      </vt:variant>
      <vt:variant>
        <vt:i4>5</vt:i4>
      </vt:variant>
      <vt:variant>
        <vt:lpwstr/>
      </vt:variant>
      <vt:variant>
        <vt:lpwstr>_Toc126756790</vt:lpwstr>
      </vt:variant>
      <vt:variant>
        <vt:i4>1835061</vt:i4>
      </vt:variant>
      <vt:variant>
        <vt:i4>56</vt:i4>
      </vt:variant>
      <vt:variant>
        <vt:i4>0</vt:i4>
      </vt:variant>
      <vt:variant>
        <vt:i4>5</vt:i4>
      </vt:variant>
      <vt:variant>
        <vt:lpwstr/>
      </vt:variant>
      <vt:variant>
        <vt:lpwstr>_Toc126756789</vt:lpwstr>
      </vt:variant>
      <vt:variant>
        <vt:i4>1835061</vt:i4>
      </vt:variant>
      <vt:variant>
        <vt:i4>50</vt:i4>
      </vt:variant>
      <vt:variant>
        <vt:i4>0</vt:i4>
      </vt:variant>
      <vt:variant>
        <vt:i4>5</vt:i4>
      </vt:variant>
      <vt:variant>
        <vt:lpwstr/>
      </vt:variant>
      <vt:variant>
        <vt:lpwstr>_Toc126756788</vt:lpwstr>
      </vt:variant>
      <vt:variant>
        <vt:i4>1835061</vt:i4>
      </vt:variant>
      <vt:variant>
        <vt:i4>44</vt:i4>
      </vt:variant>
      <vt:variant>
        <vt:i4>0</vt:i4>
      </vt:variant>
      <vt:variant>
        <vt:i4>5</vt:i4>
      </vt:variant>
      <vt:variant>
        <vt:lpwstr/>
      </vt:variant>
      <vt:variant>
        <vt:lpwstr>_Toc126756787</vt:lpwstr>
      </vt:variant>
      <vt:variant>
        <vt:i4>1835061</vt:i4>
      </vt:variant>
      <vt:variant>
        <vt:i4>38</vt:i4>
      </vt:variant>
      <vt:variant>
        <vt:i4>0</vt:i4>
      </vt:variant>
      <vt:variant>
        <vt:i4>5</vt:i4>
      </vt:variant>
      <vt:variant>
        <vt:lpwstr/>
      </vt:variant>
      <vt:variant>
        <vt:lpwstr>_Toc126756786</vt:lpwstr>
      </vt:variant>
      <vt:variant>
        <vt:i4>1835061</vt:i4>
      </vt:variant>
      <vt:variant>
        <vt:i4>32</vt:i4>
      </vt:variant>
      <vt:variant>
        <vt:i4>0</vt:i4>
      </vt:variant>
      <vt:variant>
        <vt:i4>5</vt:i4>
      </vt:variant>
      <vt:variant>
        <vt:lpwstr/>
      </vt:variant>
      <vt:variant>
        <vt:lpwstr>_Toc126756785</vt:lpwstr>
      </vt:variant>
      <vt:variant>
        <vt:i4>1835061</vt:i4>
      </vt:variant>
      <vt:variant>
        <vt:i4>26</vt:i4>
      </vt:variant>
      <vt:variant>
        <vt:i4>0</vt:i4>
      </vt:variant>
      <vt:variant>
        <vt:i4>5</vt:i4>
      </vt:variant>
      <vt:variant>
        <vt:lpwstr/>
      </vt:variant>
      <vt:variant>
        <vt:lpwstr>_Toc126756784</vt:lpwstr>
      </vt:variant>
      <vt:variant>
        <vt:i4>1835061</vt:i4>
      </vt:variant>
      <vt:variant>
        <vt:i4>20</vt:i4>
      </vt:variant>
      <vt:variant>
        <vt:i4>0</vt:i4>
      </vt:variant>
      <vt:variant>
        <vt:i4>5</vt:i4>
      </vt:variant>
      <vt:variant>
        <vt:lpwstr/>
      </vt:variant>
      <vt:variant>
        <vt:lpwstr>_Toc126756783</vt:lpwstr>
      </vt:variant>
      <vt:variant>
        <vt:i4>1835061</vt:i4>
      </vt:variant>
      <vt:variant>
        <vt:i4>14</vt:i4>
      </vt:variant>
      <vt:variant>
        <vt:i4>0</vt:i4>
      </vt:variant>
      <vt:variant>
        <vt:i4>5</vt:i4>
      </vt:variant>
      <vt:variant>
        <vt:lpwstr/>
      </vt:variant>
      <vt:variant>
        <vt:lpwstr>_Toc126756782</vt:lpwstr>
      </vt:variant>
      <vt:variant>
        <vt:i4>1835061</vt:i4>
      </vt:variant>
      <vt:variant>
        <vt:i4>8</vt:i4>
      </vt:variant>
      <vt:variant>
        <vt:i4>0</vt:i4>
      </vt:variant>
      <vt:variant>
        <vt:i4>5</vt:i4>
      </vt:variant>
      <vt:variant>
        <vt:lpwstr/>
      </vt:variant>
      <vt:variant>
        <vt:lpwstr>_Toc126756781</vt:lpwstr>
      </vt:variant>
      <vt:variant>
        <vt:i4>1835061</vt:i4>
      </vt:variant>
      <vt:variant>
        <vt:i4>2</vt:i4>
      </vt:variant>
      <vt:variant>
        <vt:i4>0</vt:i4>
      </vt:variant>
      <vt:variant>
        <vt:i4>5</vt:i4>
      </vt:variant>
      <vt:variant>
        <vt:lpwstr/>
      </vt:variant>
      <vt:variant>
        <vt:lpwstr>_Toc126756780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Przewodnik kwalifikowalności wydatków dla 1 priorytetu</dc:title>
  <dc:subject/>
  <dc:creator>Pączkowska Ewa</dc:creator>
  <cp:keywords>PL, PARP</cp:keywords>
  <dc:description/>
  <cp:lastModifiedBy>Stępniarek Aleksandra</cp:lastModifiedBy>
  <cp:revision>11</cp:revision>
  <cp:lastPrinted>2023-10-26T16:46:00Z</cp:lastPrinted>
  <dcterms:created xsi:type="dcterms:W3CDTF">2025-06-30T08:17:00Z</dcterms:created>
  <dcterms:modified xsi:type="dcterms:W3CDTF">2025-06-30T12:57:00Z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91e939cc-945f-447d-b5c0-f5a8e3aaa77b_Enabled">
    <vt:lpwstr>true</vt:lpwstr>
  </property>
  <property fmtid="{D5CDD505-2E9C-101B-9397-08002B2CF9AE}" pid="5" name="MSIP_Label_91e939cc-945f-447d-b5c0-f5a8e3aaa77b_SetDate">
    <vt:lpwstr>2023-03-30T07:57:22Z</vt:lpwstr>
  </property>
  <property fmtid="{D5CDD505-2E9C-101B-9397-08002B2CF9AE}" pid="6" name="MSIP_Label_91e939cc-945f-447d-b5c0-f5a8e3aaa77b_Method">
    <vt:lpwstr>Privileged</vt:lpwstr>
  </property>
  <property fmtid="{D5CDD505-2E9C-101B-9397-08002B2CF9AE}" pid="7" name="MSIP_Label_91e939cc-945f-447d-b5c0-f5a8e3aaa77b_Name">
    <vt:lpwstr>K1 - Publiczna bez oznakowania</vt:lpwstr>
  </property>
  <property fmtid="{D5CDD505-2E9C-101B-9397-08002B2CF9AE}" pid="8" name="MSIP_Label_91e939cc-945f-447d-b5c0-f5a8e3aaa77b_SiteId">
    <vt:lpwstr>114511be-be5b-44a7-b2ab-a51e832dea9d</vt:lpwstr>
  </property>
  <property fmtid="{D5CDD505-2E9C-101B-9397-08002B2CF9AE}" pid="9" name="MSIP_Label_91e939cc-945f-447d-b5c0-f5a8e3aaa77b_ActionId">
    <vt:lpwstr>1d2c4185-1347-4663-8a69-c9beb1c7dae7</vt:lpwstr>
  </property>
  <property fmtid="{D5CDD505-2E9C-101B-9397-08002B2CF9AE}" pid="10" name="MSIP_Label_91e939cc-945f-447d-b5c0-f5a8e3aaa77b_ContentBits">
    <vt:lpwstr>0</vt:lpwstr>
  </property>
  <property fmtid="{D5CDD505-2E9C-101B-9397-08002B2CF9AE}" pid="11" name="MSIP_Label_8b72bd6a-5f70-4f6e-be10-f745206756ad_Enabled">
    <vt:lpwstr>true</vt:lpwstr>
  </property>
  <property fmtid="{D5CDD505-2E9C-101B-9397-08002B2CF9AE}" pid="12" name="MSIP_Label_8b72bd6a-5f70-4f6e-be10-f745206756ad_SetDate">
    <vt:lpwstr>2023-10-20T15:45:42Z</vt:lpwstr>
  </property>
  <property fmtid="{D5CDD505-2E9C-101B-9397-08002B2CF9AE}" pid="13" name="MSIP_Label_8b72bd6a-5f70-4f6e-be10-f745206756ad_Method">
    <vt:lpwstr>Standard</vt:lpwstr>
  </property>
  <property fmtid="{D5CDD505-2E9C-101B-9397-08002B2CF9AE}" pid="14" name="MSIP_Label_8b72bd6a-5f70-4f6e-be10-f745206756ad_Name">
    <vt:lpwstr>K2 - informacja wewnętrzna</vt:lpwstr>
  </property>
  <property fmtid="{D5CDD505-2E9C-101B-9397-08002B2CF9AE}" pid="15" name="MSIP_Label_8b72bd6a-5f70-4f6e-be10-f745206756ad_SiteId">
    <vt:lpwstr>114511be-be5b-44a7-b2ab-a51e832dea9d</vt:lpwstr>
  </property>
  <property fmtid="{D5CDD505-2E9C-101B-9397-08002B2CF9AE}" pid="16" name="MSIP_Label_8b72bd6a-5f70-4f6e-be10-f745206756ad_ActionId">
    <vt:lpwstr>ed9160bd-4625-4795-ac66-2bd17102e18f</vt:lpwstr>
  </property>
  <property fmtid="{D5CDD505-2E9C-101B-9397-08002B2CF9AE}" pid="17" name="MSIP_Label_8b72bd6a-5f70-4f6e-be10-f745206756ad_ContentBits">
    <vt:lpwstr>2</vt:lpwstr>
  </property>
</Properties>
</file>