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BB" w:rsidRPr="00423E75" w:rsidRDefault="00FB47BB" w:rsidP="00423E75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E75">
        <w:rPr>
          <w:i/>
        </w:rPr>
        <w:t>Załącznik nr 1</w:t>
      </w:r>
      <w:r w:rsidR="00F97BD8">
        <w:rPr>
          <w:i/>
        </w:rPr>
        <w:t>4</w:t>
      </w:r>
      <w:bookmarkStart w:id="0" w:name="_GoBack"/>
      <w:bookmarkEnd w:id="0"/>
      <w:r w:rsidRPr="00423E75">
        <w:rPr>
          <w:i/>
        </w:rPr>
        <w:t xml:space="preserve"> do Regulaminu konkursu </w:t>
      </w:r>
    </w:p>
    <w:p w:rsidR="00FA324A" w:rsidRDefault="00191639">
      <w:r>
        <w:t>Zestawienie standardu i cen rynkowych wybranych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006"/>
        <w:gridCol w:w="2799"/>
        <w:gridCol w:w="2799"/>
      </w:tblGrid>
      <w:tr w:rsidR="00191639" w:rsidTr="00191639">
        <w:tc>
          <w:tcPr>
            <w:tcW w:w="562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Lp.</w:t>
            </w:r>
          </w:p>
        </w:tc>
        <w:tc>
          <w:tcPr>
            <w:tcW w:w="3828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Towar/Usługa</w:t>
            </w:r>
          </w:p>
        </w:tc>
        <w:tc>
          <w:tcPr>
            <w:tcW w:w="4006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Standard – warunki kwalifikowania wydatku na etapie oceny projektów</w:t>
            </w:r>
          </w:p>
        </w:tc>
        <w:tc>
          <w:tcPr>
            <w:tcW w:w="2799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Maksymalna cena rynkowa</w:t>
            </w:r>
            <w:r w:rsidRPr="004A194E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799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Dodatkowe zalecenia IZ</w:t>
            </w:r>
          </w:p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191639" w:rsidRDefault="00191639" w:rsidP="00191639">
            <w:proofErr w:type="gramStart"/>
            <w:r>
              <w:t>wynagrodzenie</w:t>
            </w:r>
            <w:proofErr w:type="gramEnd"/>
            <w:r>
              <w:t xml:space="preserve"> trenera</w:t>
            </w:r>
          </w:p>
        </w:tc>
        <w:tc>
          <w:tcPr>
            <w:tcW w:w="4006" w:type="dxa"/>
          </w:tcPr>
          <w:p w:rsidR="00191639" w:rsidRPr="00FB47BB" w:rsidRDefault="00191639" w:rsidP="00191639">
            <w:r w:rsidRPr="00FB47BB">
              <w:t>- wydatek kwalifikowany o ile trener posiada wykształcenie wyższe/zawodowe lub certyfikaty/zaświadczenia/inne umożliwiające przepr</w:t>
            </w:r>
            <w:r w:rsidR="00310F8C">
              <w:t>owadzenie szkoleń w zakresie: finansowym, prawnym oraz organizacyjnym</w:t>
            </w:r>
          </w:p>
        </w:tc>
        <w:tc>
          <w:tcPr>
            <w:tcW w:w="2799" w:type="dxa"/>
          </w:tcPr>
          <w:p w:rsidR="00191639" w:rsidRPr="00FB47BB" w:rsidRDefault="00191639" w:rsidP="00191639">
            <w:pPr>
              <w:jc w:val="center"/>
            </w:pPr>
          </w:p>
          <w:p w:rsidR="00191639" w:rsidRPr="00FB47BB" w:rsidRDefault="00191639" w:rsidP="00191639">
            <w:pPr>
              <w:jc w:val="center"/>
            </w:pPr>
            <w:r w:rsidRPr="00FB47BB">
              <w:t>Cena uzależniona od tematyki i zakresu wsparcia</w:t>
            </w:r>
          </w:p>
        </w:tc>
        <w:tc>
          <w:tcPr>
            <w:tcW w:w="2799" w:type="dxa"/>
          </w:tcPr>
          <w:p w:rsidR="00191639" w:rsidRDefault="00191639" w:rsidP="00191639"/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91639" w:rsidRDefault="00191639" w:rsidP="00191639">
            <w:proofErr w:type="gramStart"/>
            <w:r>
              <w:t>wynagrodzenie</w:t>
            </w:r>
            <w:proofErr w:type="gramEnd"/>
            <w:r>
              <w:t xml:space="preserve"> psychologa</w:t>
            </w:r>
          </w:p>
        </w:tc>
        <w:tc>
          <w:tcPr>
            <w:tcW w:w="4006" w:type="dxa"/>
          </w:tcPr>
          <w:p w:rsidR="00191639" w:rsidRPr="00FB47BB" w:rsidRDefault="00191639" w:rsidP="00423E75">
            <w:r w:rsidRPr="00FB47BB">
              <w:t>Wydatek kwalifikowany psychol</w:t>
            </w:r>
            <w:r w:rsidR="00423E75">
              <w:t xml:space="preserve">og posiada wykształcenie wyższe kierunkowe oraz </w:t>
            </w:r>
            <w:r w:rsidR="00423E75" w:rsidRPr="00140CF8">
              <w:t>doświadczenie w pracy szkoleniowej lub doradczej w procesie sukcesji, w wymiarze 80 godzin, w okresie 5 lat przed terminem złożenia wniosku.</w:t>
            </w:r>
          </w:p>
        </w:tc>
        <w:tc>
          <w:tcPr>
            <w:tcW w:w="2799" w:type="dxa"/>
          </w:tcPr>
          <w:p w:rsidR="00191639" w:rsidRPr="00423E75" w:rsidRDefault="006252D0" w:rsidP="006252D0">
            <w:pPr>
              <w:jc w:val="center"/>
              <w:rPr>
                <w:i/>
              </w:rPr>
            </w:pPr>
            <w:r w:rsidRPr="006252D0">
              <w:rPr>
                <w:i/>
                <w:color w:val="FF0000"/>
              </w:rPr>
              <w:t>W trakcie ustalania przez IP</w:t>
            </w:r>
          </w:p>
        </w:tc>
        <w:tc>
          <w:tcPr>
            <w:tcW w:w="2799" w:type="dxa"/>
          </w:tcPr>
          <w:p w:rsidR="00191639" w:rsidRDefault="00191639" w:rsidP="00423E75">
            <w:r>
              <w:t xml:space="preserve">- cena obejmuje stawkę godzinową wynagrodzenia brutto </w:t>
            </w:r>
            <w:proofErr w:type="spellStart"/>
            <w:r>
              <w:t>brutto</w:t>
            </w:r>
            <w:proofErr w:type="spellEnd"/>
            <w:r>
              <w:t xml:space="preserve"> w przypadku umowy o pracę, zaś w przypadku innych umów stawka </w:t>
            </w:r>
            <w:r w:rsidR="00423E75">
              <w:t>powinna obejmować koszty dojazdu do uczestnika.</w:t>
            </w:r>
          </w:p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91639" w:rsidRDefault="002805DF" w:rsidP="00191639">
            <w:proofErr w:type="gramStart"/>
            <w:r>
              <w:t>wynajem</w:t>
            </w:r>
            <w:proofErr w:type="gram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szkoleniowych</w:t>
            </w:r>
          </w:p>
        </w:tc>
        <w:tc>
          <w:tcPr>
            <w:tcW w:w="4006" w:type="dxa"/>
          </w:tcPr>
          <w:p w:rsidR="00191639" w:rsidRDefault="004976EF" w:rsidP="00191639">
            <w:r>
              <w:t xml:space="preserve">- obejmuje koszt wynajmu Sali wyposażonej, zgodnie z potrzebami projektu, m.in. w stoły, krzesła, rzutnik multimedialny z ekranem, komputer, tablice </w:t>
            </w:r>
            <w:proofErr w:type="spellStart"/>
            <w:r>
              <w:t>flipczart</w:t>
            </w:r>
            <w:proofErr w:type="spellEnd"/>
            <w:r>
              <w:t xml:space="preserve"> lub tablice </w:t>
            </w:r>
            <w:proofErr w:type="spellStart"/>
            <w:r>
              <w:t>suchościeralne</w:t>
            </w:r>
            <w:proofErr w:type="spellEnd"/>
            <w:r>
              <w:t xml:space="preserve">, bezprzewodowy dostęp do </w:t>
            </w:r>
            <w:r w:rsidR="00FC0C64">
              <w:t>Internetu</w:t>
            </w:r>
            <w:r>
              <w:t xml:space="preserve"> oraz koszty utrzymania sali, w tym energii elektrycznej</w:t>
            </w:r>
          </w:p>
          <w:p w:rsidR="004976EF" w:rsidRDefault="004976EF" w:rsidP="00191639">
            <w:r>
              <w:lastRenderedPageBreak/>
              <w:t xml:space="preserve">- wydatek kwalifikowalny, o ile sala oraz budynek, w którym się ona znajduje, zapewnia dostęp do osób z niepełnosprawnością ruchową (tj. dostosowanie architektoniczne), </w:t>
            </w:r>
            <w:r w:rsidRPr="00FB47BB">
              <w:t xml:space="preserve">przy czym obowiązek ten nie dotyczy udostępniania </w:t>
            </w:r>
            <w:proofErr w:type="spellStart"/>
            <w:r w:rsidRPr="00FB47BB">
              <w:t>sal</w:t>
            </w:r>
            <w:proofErr w:type="spellEnd"/>
            <w:r w:rsidRPr="00FB47BB">
              <w:t xml:space="preserve"> </w:t>
            </w:r>
            <w:proofErr w:type="gramStart"/>
            <w:r w:rsidRPr="00FB47BB">
              <w:t>szkoleniowych jako</w:t>
            </w:r>
            <w:proofErr w:type="gramEnd"/>
            <w:r w:rsidRPr="00FB47BB">
              <w:t xml:space="preserve"> wkład własny w projekcie</w:t>
            </w:r>
          </w:p>
        </w:tc>
        <w:tc>
          <w:tcPr>
            <w:tcW w:w="2799" w:type="dxa"/>
          </w:tcPr>
          <w:p w:rsidR="00191639" w:rsidRDefault="00191639" w:rsidP="00191639">
            <w:pPr>
              <w:jc w:val="center"/>
            </w:pPr>
          </w:p>
          <w:p w:rsidR="004976EF" w:rsidRDefault="004976EF" w:rsidP="00191639">
            <w:pPr>
              <w:jc w:val="center"/>
            </w:pPr>
          </w:p>
          <w:p w:rsidR="004976EF" w:rsidRDefault="004976EF" w:rsidP="00191639">
            <w:pPr>
              <w:jc w:val="center"/>
            </w:pPr>
          </w:p>
          <w:p w:rsidR="004976EF" w:rsidRDefault="004976EF" w:rsidP="00191639">
            <w:pPr>
              <w:jc w:val="center"/>
            </w:pPr>
          </w:p>
          <w:p w:rsidR="004976EF" w:rsidRDefault="004976EF" w:rsidP="00191639">
            <w:pPr>
              <w:jc w:val="center"/>
            </w:pPr>
            <w:r>
              <w:t>30 PLN/za godzinę zegarową spotkania</w:t>
            </w:r>
          </w:p>
        </w:tc>
        <w:tc>
          <w:tcPr>
            <w:tcW w:w="2799" w:type="dxa"/>
          </w:tcPr>
          <w:p w:rsidR="00191639" w:rsidRDefault="00CA450E" w:rsidP="00191639">
            <w:r>
              <w:t xml:space="preserve">- cena obejmuje wynajem krótkoterminowy (w przypadku wynajmu </w:t>
            </w:r>
            <w:proofErr w:type="spellStart"/>
            <w:r>
              <w:t>sal</w:t>
            </w:r>
            <w:proofErr w:type="spellEnd"/>
            <w:r>
              <w:t xml:space="preserve"> na okres dłuższy niż 80 godzin zegarowych cena powinna być niższa)</w:t>
            </w:r>
          </w:p>
          <w:p w:rsidR="00CA450E" w:rsidRDefault="00CA450E" w:rsidP="00191639">
            <w:r>
              <w:t xml:space="preserve">- cena nie dotyczy wynajmu </w:t>
            </w:r>
            <w:proofErr w:type="spellStart"/>
            <w:r>
              <w:t>sal</w:t>
            </w:r>
            <w:proofErr w:type="spellEnd"/>
            <w:r>
              <w:t xml:space="preserve"> wyposażonych w sprzęt </w:t>
            </w:r>
            <w:proofErr w:type="gramStart"/>
            <w:r>
              <w:lastRenderedPageBreak/>
              <w:t>specjalistyczny</w:t>
            </w:r>
            <w:proofErr w:type="gramEnd"/>
            <w:r>
              <w:t xml:space="preserve"> umożliwiający udział we wsparciu osób z innymi rodzajami niepełnosprawności niż niepełnosprawność ruchowa (np. sala z pętlą indukcyjną)</w:t>
            </w:r>
          </w:p>
        </w:tc>
      </w:tr>
      <w:tr w:rsidR="00703646" w:rsidTr="00191639">
        <w:tc>
          <w:tcPr>
            <w:tcW w:w="562" w:type="dxa"/>
          </w:tcPr>
          <w:p w:rsidR="00703646" w:rsidRDefault="00703646" w:rsidP="00703646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8" w:type="dxa"/>
          </w:tcPr>
          <w:p w:rsidR="00703646" w:rsidRDefault="00703646" w:rsidP="00703646">
            <w:proofErr w:type="gramStart"/>
            <w:r>
              <w:t>wynajem</w:t>
            </w:r>
            <w:proofErr w:type="gram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na spotkania indywidualne</w:t>
            </w:r>
          </w:p>
        </w:tc>
        <w:tc>
          <w:tcPr>
            <w:tcW w:w="4006" w:type="dxa"/>
          </w:tcPr>
          <w:p w:rsidR="00703646" w:rsidRDefault="00703646" w:rsidP="00703646">
            <w:r>
              <w:t xml:space="preserve">- obejmuje koszt wynajmu Sali wyposażonej, zgodnie z potrzebami projektu, m.in. w stoły, krzesła, tablice </w:t>
            </w:r>
            <w:proofErr w:type="spellStart"/>
            <w:r>
              <w:t>flipczart</w:t>
            </w:r>
            <w:proofErr w:type="spellEnd"/>
            <w:r>
              <w:t xml:space="preserve"> lub tablice </w:t>
            </w:r>
            <w:proofErr w:type="spellStart"/>
            <w:r>
              <w:t>suchościeralne</w:t>
            </w:r>
            <w:proofErr w:type="spellEnd"/>
            <w:r>
              <w:t xml:space="preserve">, bezprzewodowy dostęp do </w:t>
            </w:r>
            <w:r w:rsidR="00FC0C64">
              <w:t>Internetu</w:t>
            </w:r>
            <w:r>
              <w:t xml:space="preserve"> oraz koszty utrzymania sali, w tym energii elektrycznej</w:t>
            </w:r>
          </w:p>
          <w:p w:rsidR="00703646" w:rsidRDefault="00703646" w:rsidP="00703646">
            <w:r>
              <w:t xml:space="preserve">- wydatek kwalifikowalny, o ile sala oraz budynek, w którym się ona znajduje, zapewnia dostęp do osób z niepełnosprawnością ruchową (tj. dostosowanie architektoniczne), </w:t>
            </w:r>
            <w:r w:rsidRPr="00FB47BB">
              <w:t xml:space="preserve">przy czym obowiązek ten nie dotyczy udostępniania </w:t>
            </w:r>
            <w:proofErr w:type="spellStart"/>
            <w:r w:rsidRPr="00FB47BB">
              <w:t>sal</w:t>
            </w:r>
            <w:proofErr w:type="spellEnd"/>
            <w:r w:rsidRPr="00FB47BB">
              <w:t xml:space="preserve"> </w:t>
            </w:r>
            <w:proofErr w:type="gramStart"/>
            <w:r w:rsidRPr="00FB47BB">
              <w:t>szkoleniowych jako</w:t>
            </w:r>
            <w:proofErr w:type="gramEnd"/>
            <w:r w:rsidRPr="00FB47BB">
              <w:t xml:space="preserve"> wkład własny w projekcie</w:t>
            </w:r>
          </w:p>
        </w:tc>
        <w:tc>
          <w:tcPr>
            <w:tcW w:w="2799" w:type="dxa"/>
          </w:tcPr>
          <w:p w:rsidR="00703646" w:rsidRDefault="00703646" w:rsidP="00703646">
            <w:pPr>
              <w:jc w:val="center"/>
            </w:pPr>
          </w:p>
          <w:p w:rsidR="00703646" w:rsidRDefault="00703646" w:rsidP="00703646">
            <w:pPr>
              <w:jc w:val="center"/>
            </w:pPr>
          </w:p>
          <w:p w:rsidR="00703646" w:rsidRDefault="00703646" w:rsidP="00703646">
            <w:pPr>
              <w:jc w:val="center"/>
            </w:pPr>
          </w:p>
          <w:p w:rsidR="00703646" w:rsidRDefault="00703646" w:rsidP="00703646">
            <w:pPr>
              <w:jc w:val="center"/>
            </w:pPr>
          </w:p>
          <w:p w:rsidR="00703646" w:rsidRDefault="00703646" w:rsidP="00703646">
            <w:pPr>
              <w:jc w:val="center"/>
            </w:pPr>
          </w:p>
          <w:p w:rsidR="00703646" w:rsidRDefault="00703646" w:rsidP="00703646">
            <w:pPr>
              <w:jc w:val="center"/>
            </w:pPr>
            <w:r>
              <w:t>30 PLN/za godzinę zegarową</w:t>
            </w:r>
          </w:p>
        </w:tc>
        <w:tc>
          <w:tcPr>
            <w:tcW w:w="2799" w:type="dxa"/>
          </w:tcPr>
          <w:p w:rsidR="00703646" w:rsidRDefault="00703646" w:rsidP="00703646">
            <w:r>
              <w:t xml:space="preserve">- cena obejmuje wynajem krótkoterminowy (w przypadku wynajmu </w:t>
            </w:r>
            <w:proofErr w:type="spellStart"/>
            <w:r>
              <w:t>sal</w:t>
            </w:r>
            <w:proofErr w:type="spellEnd"/>
            <w:r>
              <w:t xml:space="preserve"> na okres dłuższy niż 80 godzin zegarowych cena powinna być niższa)</w:t>
            </w:r>
          </w:p>
          <w:p w:rsidR="00703646" w:rsidRDefault="00703646" w:rsidP="00703646">
            <w:r>
              <w:t xml:space="preserve">- cena nie dotyczy wynajmu </w:t>
            </w:r>
            <w:proofErr w:type="spellStart"/>
            <w:r>
              <w:t>sal</w:t>
            </w:r>
            <w:proofErr w:type="spellEnd"/>
            <w:r>
              <w:t xml:space="preserve"> wyposażonych w sprzęt specjalistyczny umożliwiający udział we wsparciu osób z innymi rodzajami niepełnosprawności niż niepełnosprawność ruchowa (np. sala z pętlą indukcyjną)</w:t>
            </w:r>
          </w:p>
        </w:tc>
      </w:tr>
      <w:tr w:rsidR="00703646" w:rsidTr="00191639">
        <w:tc>
          <w:tcPr>
            <w:tcW w:w="562" w:type="dxa"/>
          </w:tcPr>
          <w:p w:rsidR="00703646" w:rsidRDefault="00703646" w:rsidP="00703646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703646" w:rsidRDefault="00703646" w:rsidP="00703646">
            <w:proofErr w:type="gramStart"/>
            <w:r>
              <w:t>zakup</w:t>
            </w:r>
            <w:proofErr w:type="gramEnd"/>
            <w:r>
              <w:t xml:space="preserve"> materiałów biurowych dla uczestników szkolenia</w:t>
            </w:r>
          </w:p>
        </w:tc>
        <w:tc>
          <w:tcPr>
            <w:tcW w:w="4006" w:type="dxa"/>
          </w:tcPr>
          <w:p w:rsidR="00703646" w:rsidRDefault="00703646" w:rsidP="00703646">
            <w:r>
              <w:t>- wydatek obejmuje zestaw składający się z: teczki, notesu, długopisu</w:t>
            </w:r>
          </w:p>
        </w:tc>
        <w:tc>
          <w:tcPr>
            <w:tcW w:w="2799" w:type="dxa"/>
          </w:tcPr>
          <w:p w:rsidR="00703646" w:rsidRDefault="00703646" w:rsidP="00FC0C64">
            <w:pPr>
              <w:jc w:val="center"/>
            </w:pPr>
          </w:p>
          <w:p w:rsidR="00703646" w:rsidRDefault="00703646" w:rsidP="00FC0C64">
            <w:pPr>
              <w:jc w:val="center"/>
            </w:pPr>
            <w:r>
              <w:t xml:space="preserve">9 PLN/zestaw albo 24 PLN/zestaw (w przypadku </w:t>
            </w:r>
            <w:r w:rsidR="0005152C">
              <w:t>zestawu z dodatkowym pendrive, co dotyczy tylko dużej ilości materiałów szkoleniowych nagrywanych na pendrive, zamiast wydruku tych materiałów)</w:t>
            </w:r>
          </w:p>
        </w:tc>
        <w:tc>
          <w:tcPr>
            <w:tcW w:w="2799" w:type="dxa"/>
          </w:tcPr>
          <w:p w:rsidR="00703646" w:rsidRDefault="0005152C" w:rsidP="00703646">
            <w:r>
              <w:t>- cena rynkowa powinna być uzależniona od oferowanej usługi i jest niższa, jeśli finansowany jest mniejszy zakres usługi (np. notes i długopis)</w:t>
            </w:r>
          </w:p>
          <w:p w:rsidR="0005152C" w:rsidRDefault="0005152C" w:rsidP="00703646">
            <w:r>
              <w:t>- cena nie obejmuje kosztów logotypów (objęte są kosztami pośrednimi)</w:t>
            </w:r>
          </w:p>
        </w:tc>
      </w:tr>
      <w:tr w:rsidR="0005152C" w:rsidTr="00191639">
        <w:tc>
          <w:tcPr>
            <w:tcW w:w="562" w:type="dxa"/>
          </w:tcPr>
          <w:p w:rsidR="0005152C" w:rsidRDefault="0005152C" w:rsidP="00703646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</w:tcPr>
          <w:p w:rsidR="0005152C" w:rsidRDefault="00FC0C64" w:rsidP="00703646">
            <w:proofErr w:type="gramStart"/>
            <w:r>
              <w:t>przerwa</w:t>
            </w:r>
            <w:proofErr w:type="gramEnd"/>
            <w:r>
              <w:t xml:space="preserve"> kawowa</w:t>
            </w:r>
          </w:p>
        </w:tc>
        <w:tc>
          <w:tcPr>
            <w:tcW w:w="4006" w:type="dxa"/>
          </w:tcPr>
          <w:p w:rsidR="00FC0C64" w:rsidRDefault="00FC0C64" w:rsidP="00703646">
            <w:r>
              <w:t xml:space="preserve">- wydatek kwalifikowalny, o ile forma wsparcia, w </w:t>
            </w:r>
            <w:proofErr w:type="gramStart"/>
            <w:r>
              <w:t>ramach której</w:t>
            </w:r>
            <w:proofErr w:type="gramEnd"/>
            <w:r>
              <w:t xml:space="preserve"> ma być świadczona przerwa kawowa dla tej samej grupy osób w danym dniu trwa co najmniej 4 godziny lekcyjne</w:t>
            </w:r>
          </w:p>
          <w:p w:rsidR="0005152C" w:rsidRDefault="00FC0C64" w:rsidP="00703646">
            <w:r>
              <w:t xml:space="preserve">- obejmuje: kawę, herbatę, wodę, mleko, cukier, cytryna, drobne słone lub słodkie przekąski typu paluszki lub kruche ciastka lub owoce, przy czym istnieje możliwość szerszego zakresu usługi, o ile mieści się w określonej cenie rynkowej </w:t>
            </w:r>
          </w:p>
        </w:tc>
        <w:tc>
          <w:tcPr>
            <w:tcW w:w="2799" w:type="dxa"/>
          </w:tcPr>
          <w:p w:rsidR="0005152C" w:rsidRDefault="0005152C" w:rsidP="00703646">
            <w:pPr>
              <w:jc w:val="center"/>
            </w:pPr>
          </w:p>
          <w:p w:rsidR="00FC0C64" w:rsidRDefault="00FC0C64" w:rsidP="00703646">
            <w:pPr>
              <w:jc w:val="center"/>
            </w:pPr>
            <w:r>
              <w:t>15 PLN/osobę/dzień szkoleniowy</w:t>
            </w:r>
          </w:p>
        </w:tc>
        <w:tc>
          <w:tcPr>
            <w:tcW w:w="2799" w:type="dxa"/>
          </w:tcPr>
          <w:p w:rsidR="00FC0C64" w:rsidRDefault="00FC0C64" w:rsidP="00FC0C64">
            <w:r>
              <w:t>- cena rynkowa powinna być uzależniona od oferowanej usługi i jest niższa, jeśli finansowany jest mniejszy zakres usługi (np. kawa, herbata, woda, mleko, cukier, cytryna bez drobnych słonych lub słodkich przekąsek)</w:t>
            </w:r>
          </w:p>
          <w:p w:rsidR="0005152C" w:rsidRDefault="0005152C" w:rsidP="00703646"/>
        </w:tc>
      </w:tr>
      <w:tr w:rsidR="00C27184" w:rsidTr="00191639">
        <w:tc>
          <w:tcPr>
            <w:tcW w:w="562" w:type="dxa"/>
          </w:tcPr>
          <w:p w:rsidR="00C27184" w:rsidRDefault="00C27184" w:rsidP="0070364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27184" w:rsidRDefault="00B75FC8" w:rsidP="00703646">
            <w:proofErr w:type="gramStart"/>
            <w:r>
              <w:t>l</w:t>
            </w:r>
            <w:r w:rsidR="00AF2B4D">
              <w:t>unch</w:t>
            </w:r>
            <w:proofErr w:type="gramEnd"/>
            <w:r>
              <w:t>/obiad/kolacja</w:t>
            </w:r>
          </w:p>
        </w:tc>
        <w:tc>
          <w:tcPr>
            <w:tcW w:w="4006" w:type="dxa"/>
          </w:tcPr>
          <w:p w:rsidR="00C27184" w:rsidRDefault="00B75FC8" w:rsidP="00703646">
            <w:r>
              <w:t>- obejmuje dwa dania (zupa i drugie danie) oraz napój, przy czym istnieje możliwość szerszego zakresu usługi, o ile mieści się w określonej cenie rynkowej</w:t>
            </w:r>
          </w:p>
          <w:p w:rsidR="00B75FC8" w:rsidRDefault="00B75FC8" w:rsidP="00703646">
            <w:r>
              <w:t xml:space="preserve">- w przypadku lunchu/obiadu wydatek kwalifikowany, o ile wsparcie dla tej samej grupy osób w danym dniu </w:t>
            </w:r>
            <w:proofErr w:type="gramStart"/>
            <w:r>
              <w:t>trwa co</w:t>
            </w:r>
            <w:proofErr w:type="gramEnd"/>
            <w:r>
              <w:t xml:space="preserve"> najmniej 6 godzin lekcyjnych (tj. 6 x 45 minut)</w:t>
            </w:r>
          </w:p>
          <w:p w:rsidR="00B75FC8" w:rsidRDefault="00B75FC8" w:rsidP="00703646">
            <w:r>
              <w:t>- w przypadku kolacji wydatek kwalifikowalny, o ile finansowana jest usługa noclegowa</w:t>
            </w:r>
          </w:p>
        </w:tc>
        <w:tc>
          <w:tcPr>
            <w:tcW w:w="2799" w:type="dxa"/>
          </w:tcPr>
          <w:p w:rsidR="00C27184" w:rsidRDefault="00C27184" w:rsidP="00703646">
            <w:pPr>
              <w:jc w:val="center"/>
            </w:pPr>
          </w:p>
          <w:p w:rsidR="00B75FC8" w:rsidRDefault="00B75FC8" w:rsidP="00703646">
            <w:pPr>
              <w:jc w:val="center"/>
            </w:pPr>
          </w:p>
          <w:p w:rsidR="00B75FC8" w:rsidRDefault="00B75FC8" w:rsidP="00703646">
            <w:pPr>
              <w:jc w:val="center"/>
            </w:pPr>
          </w:p>
          <w:p w:rsidR="00B75FC8" w:rsidRDefault="00B75FC8" w:rsidP="00703646">
            <w:pPr>
              <w:jc w:val="center"/>
            </w:pPr>
            <w:r>
              <w:t>35 PLN/osobę/posiłek</w:t>
            </w:r>
          </w:p>
        </w:tc>
        <w:tc>
          <w:tcPr>
            <w:tcW w:w="2799" w:type="dxa"/>
          </w:tcPr>
          <w:p w:rsidR="00C27184" w:rsidRDefault="00B75FC8" w:rsidP="00FC0C64">
            <w:r>
              <w:t>- cena rynkowa powinna być uzależniona od rodzaju oferowanej usługi i jest niższa, jeśli finansowany jest mniejszy zakres usługi (np. obiad składający się z drugiego dania i napoju)</w:t>
            </w:r>
          </w:p>
        </w:tc>
      </w:tr>
      <w:tr w:rsidR="00B75FC8" w:rsidTr="00191639">
        <w:tc>
          <w:tcPr>
            <w:tcW w:w="562" w:type="dxa"/>
          </w:tcPr>
          <w:p w:rsidR="00B75FC8" w:rsidRDefault="00B75FC8" w:rsidP="00703646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B75FC8" w:rsidRDefault="00E44795" w:rsidP="00703646">
            <w:proofErr w:type="gramStart"/>
            <w:r>
              <w:t>nocleg</w:t>
            </w:r>
            <w:proofErr w:type="gramEnd"/>
            <w:r>
              <w:t xml:space="preserve"> w kraju</w:t>
            </w:r>
          </w:p>
        </w:tc>
        <w:tc>
          <w:tcPr>
            <w:tcW w:w="4006" w:type="dxa"/>
          </w:tcPr>
          <w:p w:rsidR="00B75FC8" w:rsidRDefault="00E44795" w:rsidP="00703646">
            <w:r>
              <w:t>- możliwość zagwarantowania noclegu dotyczy uczestników, którzy posiadają miejsce zamieszkania w miejscowości innej niż ta miejscowość, w której odbywa się szkolenie</w:t>
            </w:r>
          </w:p>
        </w:tc>
        <w:tc>
          <w:tcPr>
            <w:tcW w:w="2799" w:type="dxa"/>
          </w:tcPr>
          <w:p w:rsidR="00B75FC8" w:rsidRDefault="00B75FC8" w:rsidP="00703646">
            <w:pPr>
              <w:jc w:val="center"/>
            </w:pPr>
          </w:p>
          <w:p w:rsidR="00E44795" w:rsidRDefault="00E44795" w:rsidP="00703646">
            <w:pPr>
              <w:jc w:val="center"/>
            </w:pPr>
            <w:r>
              <w:t>Hotel o maksymalnym standardzie 3*:</w:t>
            </w:r>
          </w:p>
          <w:p w:rsidR="00E44795" w:rsidRDefault="00E44795" w:rsidP="00703646">
            <w:pPr>
              <w:jc w:val="center"/>
            </w:pPr>
            <w:r>
              <w:t>- 220 PLN/1 nocleg/1 osoba</w:t>
            </w:r>
          </w:p>
          <w:p w:rsidR="00E44795" w:rsidRDefault="00E44795" w:rsidP="00703646">
            <w:pPr>
              <w:jc w:val="center"/>
            </w:pPr>
          </w:p>
          <w:p w:rsidR="00E44795" w:rsidRDefault="00E44795" w:rsidP="00703646">
            <w:pPr>
              <w:jc w:val="center"/>
            </w:pPr>
            <w:r>
              <w:t>Hotel o niższym standardzie nić 3* oraz pensjonat, motel itd.:</w:t>
            </w:r>
          </w:p>
          <w:p w:rsidR="00E44795" w:rsidRDefault="00E44795" w:rsidP="00703646">
            <w:pPr>
              <w:jc w:val="center"/>
            </w:pPr>
            <w:r>
              <w:t>- 130 PLN/1 nocleg/1 osoba</w:t>
            </w:r>
          </w:p>
        </w:tc>
        <w:tc>
          <w:tcPr>
            <w:tcW w:w="2799" w:type="dxa"/>
          </w:tcPr>
          <w:p w:rsidR="00B75FC8" w:rsidRDefault="00E44795" w:rsidP="00FC0C64">
            <w:r>
              <w:t xml:space="preserve">- cena rynkowa powinna być uzależniona od rodzaju oferowanej usługi i jest niższa, jeśli finansowany jest mniejszy zakres usługi (np. </w:t>
            </w:r>
            <w:r w:rsidR="003D5A5D">
              <w:t>nocleg w pokoju wieloosobowym, tj. 3-osobowym lub większym)</w:t>
            </w:r>
          </w:p>
        </w:tc>
      </w:tr>
      <w:tr w:rsidR="00341420" w:rsidTr="00191639">
        <w:tc>
          <w:tcPr>
            <w:tcW w:w="562" w:type="dxa"/>
          </w:tcPr>
          <w:p w:rsidR="00341420" w:rsidRDefault="00341420" w:rsidP="00703646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8" w:type="dxa"/>
          </w:tcPr>
          <w:p w:rsidR="00341420" w:rsidRDefault="00341420" w:rsidP="00703646">
            <w:proofErr w:type="gramStart"/>
            <w:r>
              <w:t>zwrot</w:t>
            </w:r>
            <w:proofErr w:type="gramEnd"/>
            <w:r>
              <w:t xml:space="preserve"> kosztów dojazdu</w:t>
            </w:r>
          </w:p>
        </w:tc>
        <w:tc>
          <w:tcPr>
            <w:tcW w:w="4006" w:type="dxa"/>
          </w:tcPr>
          <w:p w:rsidR="00341420" w:rsidRDefault="00341420" w:rsidP="00703646">
            <w:r>
              <w:t>- wydatek kwalifikowalny w związku z uzasadnionymi potrzebami grupy docelowej (np. koszty dojazdów dla osób z niepełnosprawnościami)</w:t>
            </w:r>
          </w:p>
          <w:p w:rsidR="00341420" w:rsidRDefault="00341420" w:rsidP="00341420">
            <w:r>
              <w:t xml:space="preserve">Wydatek kwalifikowalny do wysokości opłat za środki transportu publicznego szynowego lub kołowego zgodnie z cennikiem biletów II klasy obowiązującym na danym obszarze, także w przypadku korzystania ze środków transportu prywatnego (w szczególności samochodem lub </w:t>
            </w:r>
            <w:proofErr w:type="gramStart"/>
            <w:r>
              <w:t>taksówką) jako</w:t>
            </w:r>
            <w:proofErr w:type="gramEnd"/>
            <w:r>
              <w:t xml:space="preserve"> refundacja wydatku faktycznie poniesionego do ww. wysokości</w:t>
            </w:r>
          </w:p>
        </w:tc>
        <w:tc>
          <w:tcPr>
            <w:tcW w:w="2799" w:type="dxa"/>
          </w:tcPr>
          <w:p w:rsidR="00341420" w:rsidRDefault="00341420" w:rsidP="00703646">
            <w:pPr>
              <w:jc w:val="center"/>
            </w:pPr>
          </w:p>
          <w:p w:rsidR="00341420" w:rsidRDefault="00341420" w:rsidP="00703646">
            <w:pPr>
              <w:jc w:val="center"/>
            </w:pPr>
            <w:r>
              <w:t>Cena uzależniona od cenników operatorów komunikacji publicznej</w:t>
            </w:r>
          </w:p>
        </w:tc>
        <w:tc>
          <w:tcPr>
            <w:tcW w:w="2799" w:type="dxa"/>
          </w:tcPr>
          <w:p w:rsidR="00341420" w:rsidRDefault="00341420" w:rsidP="00FC0C64"/>
        </w:tc>
      </w:tr>
      <w:tr w:rsidR="00423E75" w:rsidTr="00423E75">
        <w:tc>
          <w:tcPr>
            <w:tcW w:w="562" w:type="dxa"/>
          </w:tcPr>
          <w:p w:rsidR="00423E75" w:rsidRDefault="00423E75" w:rsidP="00423E75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23E75" w:rsidRDefault="00423E75" w:rsidP="00423E75">
            <w:proofErr w:type="gramStart"/>
            <w:r>
              <w:t>koszty</w:t>
            </w:r>
            <w:proofErr w:type="gramEnd"/>
            <w:r>
              <w:t xml:space="preserve"> doradcy </w:t>
            </w:r>
            <w:r w:rsidRPr="00140CF8">
              <w:t>z obszarów tematycznych: finansowego, prawnego oraz organizacyjnego</w:t>
            </w:r>
          </w:p>
        </w:tc>
        <w:tc>
          <w:tcPr>
            <w:tcW w:w="4006" w:type="dxa"/>
          </w:tcPr>
          <w:p w:rsidR="00423E75" w:rsidRDefault="00423E75" w:rsidP="00423E75">
            <w:r>
              <w:t>- wydatek kwalifikowalny w związku z uzasadnionymi potrzebami grupy docelowej.</w:t>
            </w:r>
          </w:p>
          <w:p w:rsidR="00423E75" w:rsidRPr="00423E75" w:rsidRDefault="00423E75" w:rsidP="00423E75">
            <w:pPr>
              <w:spacing w:after="200"/>
            </w:pPr>
            <w:r>
              <w:t xml:space="preserve">Wykształcenie doradcy wyższe kierunkowe oraz </w:t>
            </w:r>
            <w:proofErr w:type="gramStart"/>
            <w:r w:rsidRPr="00423E75">
              <w:t>wypracowane co</w:t>
            </w:r>
            <w:proofErr w:type="gramEnd"/>
            <w:r w:rsidRPr="00423E75">
              <w:t xml:space="preserve"> najmniej 80 godzin doradczych z zakresu sukcesji w firmach rodzinnych w obszarze tematycznym, z którego będzie prowadził doradztwo w okresie 5 lat </w:t>
            </w:r>
            <w:r>
              <w:t>przed terminem złożenia wniosku.</w:t>
            </w:r>
          </w:p>
          <w:p w:rsidR="00423E75" w:rsidRDefault="00423E75" w:rsidP="00423E75"/>
          <w:p w:rsidR="00423E75" w:rsidRDefault="00423E75" w:rsidP="00423E75"/>
        </w:tc>
        <w:tc>
          <w:tcPr>
            <w:tcW w:w="2799" w:type="dxa"/>
          </w:tcPr>
          <w:p w:rsidR="00423E75" w:rsidRDefault="006252D0" w:rsidP="00423E75">
            <w:pPr>
              <w:jc w:val="center"/>
            </w:pPr>
            <w:r w:rsidRPr="006252D0">
              <w:rPr>
                <w:i/>
                <w:color w:val="FF0000"/>
              </w:rPr>
              <w:t>W trakcie ustalania przez IP</w:t>
            </w:r>
            <w:r>
              <w:t xml:space="preserve"> </w:t>
            </w:r>
          </w:p>
        </w:tc>
        <w:tc>
          <w:tcPr>
            <w:tcW w:w="2799" w:type="dxa"/>
          </w:tcPr>
          <w:p w:rsidR="00423E75" w:rsidRDefault="00423E75" w:rsidP="00423E75">
            <w:r>
              <w:t xml:space="preserve">- cena obejmuje stawkę godzinową wynagrodzenia brutto </w:t>
            </w:r>
            <w:proofErr w:type="spellStart"/>
            <w:r>
              <w:t>brutto</w:t>
            </w:r>
            <w:proofErr w:type="spellEnd"/>
            <w:r>
              <w:t xml:space="preserve"> w przypadku umowy o pracę, zaś w przypadku innych umów stawka godzinowa powinna uwzględniać koszty dojazdu do uczestnika.</w:t>
            </w:r>
          </w:p>
        </w:tc>
      </w:tr>
    </w:tbl>
    <w:p w:rsidR="00191639" w:rsidRDefault="00191639" w:rsidP="00191639">
      <w:pPr>
        <w:spacing w:line="240" w:lineRule="auto"/>
      </w:pPr>
    </w:p>
    <w:sectPr w:rsidR="00191639" w:rsidSect="00423E75">
      <w:headerReference w:type="default" r:id="rId8"/>
      <w:headerReference w:type="first" r:id="rId9"/>
      <w:pgSz w:w="16838" w:h="11906" w:orient="landscape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3C" w:rsidRDefault="009D363C" w:rsidP="00191639">
      <w:pPr>
        <w:spacing w:after="0" w:line="240" w:lineRule="auto"/>
      </w:pPr>
      <w:r>
        <w:separator/>
      </w:r>
    </w:p>
  </w:endnote>
  <w:endnote w:type="continuationSeparator" w:id="0">
    <w:p w:rsidR="009D363C" w:rsidRDefault="009D363C" w:rsidP="001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3C" w:rsidRDefault="009D363C" w:rsidP="00191639">
      <w:pPr>
        <w:spacing w:after="0" w:line="240" w:lineRule="auto"/>
      </w:pPr>
      <w:r>
        <w:separator/>
      </w:r>
    </w:p>
  </w:footnote>
  <w:footnote w:type="continuationSeparator" w:id="0">
    <w:p w:rsidR="009D363C" w:rsidRDefault="009D363C" w:rsidP="00191639">
      <w:pPr>
        <w:spacing w:after="0" w:line="240" w:lineRule="auto"/>
      </w:pPr>
      <w:r>
        <w:continuationSeparator/>
      </w:r>
    </w:p>
  </w:footnote>
  <w:footnote w:id="1">
    <w:p w:rsidR="00191639" w:rsidRDefault="00191639">
      <w:pPr>
        <w:pStyle w:val="Tekstprzypisudolnego"/>
      </w:pPr>
      <w:r>
        <w:rPr>
          <w:rStyle w:val="Odwoanieprzypisudolnego"/>
        </w:rPr>
        <w:footnoteRef/>
      </w:r>
      <w:r>
        <w:t xml:space="preserve"> Ceny wyliczone na podstawie rozeznania rynku </w:t>
      </w:r>
      <w:proofErr w:type="gramStart"/>
      <w:r>
        <w:t>dokumentowanego przez IŻ</w:t>
      </w:r>
      <w:proofErr w:type="gramEnd"/>
      <w:r>
        <w:t xml:space="preserve"> PO WER (co najmniej 10 ofert do każdej pozycji), podane kwoty to ceny 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BB" w:rsidRDefault="00FB47BB">
    <w:pPr>
      <w:pStyle w:val="Nagwek"/>
    </w:pPr>
  </w:p>
  <w:p w:rsidR="00FB47BB" w:rsidRDefault="00FB4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75" w:rsidRDefault="00423E75" w:rsidP="00423E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69C28F">
          <wp:extent cx="7590155" cy="11880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5314"/>
    <w:multiLevelType w:val="hybridMultilevel"/>
    <w:tmpl w:val="B8BA6D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4"/>
    <w:rsid w:val="0005152C"/>
    <w:rsid w:val="00170D19"/>
    <w:rsid w:val="00191639"/>
    <w:rsid w:val="002805DF"/>
    <w:rsid w:val="00310F8C"/>
    <w:rsid w:val="00341420"/>
    <w:rsid w:val="003B636C"/>
    <w:rsid w:val="003D5A5D"/>
    <w:rsid w:val="00423E75"/>
    <w:rsid w:val="004976EF"/>
    <w:rsid w:val="004A194E"/>
    <w:rsid w:val="006252D0"/>
    <w:rsid w:val="00703646"/>
    <w:rsid w:val="00801926"/>
    <w:rsid w:val="00954484"/>
    <w:rsid w:val="009D363C"/>
    <w:rsid w:val="00AF2B4D"/>
    <w:rsid w:val="00B75FC8"/>
    <w:rsid w:val="00C27184"/>
    <w:rsid w:val="00CA450E"/>
    <w:rsid w:val="00D26AE0"/>
    <w:rsid w:val="00E44795"/>
    <w:rsid w:val="00F97BD8"/>
    <w:rsid w:val="00FA324A"/>
    <w:rsid w:val="00FB47BB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EAC99C-498A-42B7-B249-A8009978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BB"/>
  </w:style>
  <w:style w:type="paragraph" w:styleId="Stopka">
    <w:name w:val="footer"/>
    <w:basedOn w:val="Normalny"/>
    <w:link w:val="Stopka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BB"/>
  </w:style>
  <w:style w:type="paragraph" w:styleId="Akapitzlist">
    <w:name w:val="List Paragraph"/>
    <w:basedOn w:val="Normalny"/>
    <w:link w:val="AkapitzlistZnak"/>
    <w:uiPriority w:val="99"/>
    <w:qFormat/>
    <w:rsid w:val="00423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423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AC3B-2100-43BE-B006-CBCD3963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Kuś-Konieczna Małgorzata</cp:lastModifiedBy>
  <cp:revision>4</cp:revision>
  <dcterms:created xsi:type="dcterms:W3CDTF">2017-12-14T14:07:00Z</dcterms:created>
  <dcterms:modified xsi:type="dcterms:W3CDTF">2017-12-14T14:23:00Z</dcterms:modified>
</cp:coreProperties>
</file>