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8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Polska Agencja Rozwoju Przedsiębiorczości (PARP)</w:t>
      </w:r>
    </w:p>
    <w:p w:rsidR="000B14CD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ul</w:t>
      </w:r>
      <w:r w:rsidR="001F0018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. Pańska 81/83, 00-834 Warszawa</w:t>
      </w:r>
    </w:p>
    <w:p w:rsidR="00DC2AB9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jako Instytucja Pośrednicząca</w:t>
      </w:r>
    </w:p>
    <w:p w:rsidR="00790CDB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dla</w:t>
      </w:r>
    </w:p>
    <w:p w:rsidR="00790CDB" w:rsidRPr="00154D4D" w:rsidRDefault="00790CDB" w:rsidP="00AC26B4">
      <w:pPr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Działania 2.2</w:t>
      </w:r>
      <w:r w:rsidR="00E85552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1</w:t>
      </w:r>
      <w:r w:rsidR="00AC26B4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Poprawa zarządzania, rozwój kapitału ludzkiego oraz wsparcie procesów innowacyjnych przedsiębiorstw, </w:t>
      </w: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w Szczegółowym Opisie Osi Priorytetowych 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br/>
      </w:r>
      <w:r w:rsidR="00537D33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w ramach II osi priorytetowej: „Efektywne polityki publiczne dla rynku pracy, gospodarki </w:t>
      </w:r>
      <w:r w:rsidR="00CA1D4E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br/>
      </w:r>
      <w:r w:rsidR="00537D33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i </w:t>
      </w:r>
      <w:proofErr w:type="spellStart"/>
      <w:r w:rsidR="00A85DD2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edukacji</w:t>
      </w:r>
      <w:r w:rsidR="00537D33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"</w:t>
      </w: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Programu</w:t>
      </w:r>
      <w:proofErr w:type="spellEnd"/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Operacyjnego Wiedza Edukacja Rozwój 2014 </w:t>
      </w:r>
      <w:r w:rsidR="00537D33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–</w:t>
      </w: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2020</w:t>
      </w:r>
      <w:r w:rsidR="00537D33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,</w:t>
      </w:r>
    </w:p>
    <w:p w:rsidR="00790CDB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działając na podstawie art. 40 ustawy z dnia 11 lipca 2014 r. </w:t>
      </w:r>
      <w:r w:rsidRPr="00154D4D">
        <w:rPr>
          <w:rFonts w:ascii="Arial" w:eastAsia="Times New Roman" w:hAnsi="Arial" w:cs="Arial"/>
          <w:i/>
          <w:iCs/>
          <w:color w:val="262625"/>
          <w:sz w:val="21"/>
          <w:szCs w:val="21"/>
          <w:lang w:eastAsia="pl-PL"/>
        </w:rPr>
        <w:t xml:space="preserve">o zasadach realizacji programów </w:t>
      </w:r>
      <w:r w:rsidR="00CA1D4E">
        <w:rPr>
          <w:rFonts w:ascii="Arial" w:eastAsia="Times New Roman" w:hAnsi="Arial" w:cs="Arial"/>
          <w:i/>
          <w:iCs/>
          <w:color w:val="262625"/>
          <w:sz w:val="21"/>
          <w:szCs w:val="21"/>
          <w:lang w:eastAsia="pl-PL"/>
        </w:rPr>
        <w:br/>
      </w:r>
      <w:r w:rsidRPr="00154D4D">
        <w:rPr>
          <w:rFonts w:ascii="Arial" w:eastAsia="Times New Roman" w:hAnsi="Arial" w:cs="Arial"/>
          <w:i/>
          <w:iCs/>
          <w:color w:val="262625"/>
          <w:sz w:val="21"/>
          <w:szCs w:val="21"/>
          <w:lang w:eastAsia="pl-PL"/>
        </w:rPr>
        <w:t>w zakresie polityki spójności finansowanych w perspektywie finansowej 2014-2020</w:t>
      </w:r>
      <w:r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> (</w:t>
      </w:r>
      <w:r w:rsidR="00500C78"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 xml:space="preserve">Dz. U. 2017 r., poz. 1460, z </w:t>
      </w:r>
      <w:proofErr w:type="spellStart"/>
      <w:r w:rsidR="00500C78"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>późn</w:t>
      </w:r>
      <w:proofErr w:type="spellEnd"/>
      <w:r w:rsidR="00500C78"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 xml:space="preserve">. </w:t>
      </w:r>
      <w:proofErr w:type="spellStart"/>
      <w:r w:rsidR="00500C78"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>zm</w:t>
      </w:r>
      <w:proofErr w:type="spellEnd"/>
      <w:r w:rsidRPr="00154D4D">
        <w:rPr>
          <w:rFonts w:ascii="Arial" w:eastAsia="Times New Roman" w:hAnsi="Arial" w:cs="Arial"/>
          <w:i/>
          <w:color w:val="262625"/>
          <w:sz w:val="21"/>
          <w:szCs w:val="21"/>
          <w:lang w:eastAsia="pl-PL"/>
        </w:rPr>
        <w:t>)</w:t>
      </w:r>
    </w:p>
    <w:p w:rsidR="001F0018" w:rsidRPr="00154D4D" w:rsidRDefault="001F0018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ogłasza konkurs nr </w:t>
      </w:r>
      <w:r w:rsidR="00E85552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POWR.02.21.00-IP.09-00-00</w:t>
      </w:r>
      <w:r w:rsidR="00A6286F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4</w:t>
      </w:r>
      <w:r w:rsidR="00E85552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/18</w:t>
      </w:r>
    </w:p>
    <w:p w:rsidR="00AC26B4" w:rsidRPr="00154D4D" w:rsidRDefault="00AC26B4" w:rsidP="0009410E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pn.: „</w:t>
      </w:r>
      <w:r w:rsidR="00425A06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Szkolenia lub doradztwo wynikające z rekomendacji Sektorowych Rad </w:t>
      </w:r>
      <w:r w:rsidR="00CA1D4E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br/>
      </w:r>
      <w:r w:rsidR="00425A06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ds. Kompetencji</w:t>
      </w: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"</w:t>
      </w:r>
    </w:p>
    <w:p w:rsidR="00790CDB" w:rsidRPr="00154D4D" w:rsidRDefault="00AC26B4" w:rsidP="001D1E9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na </w:t>
      </w:r>
      <w:r w:rsidR="000A7C2D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wybór beneficjentów </w:t>
      </w:r>
      <w:r w:rsidR="004039CA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obsługujących wsparcie </w:t>
      </w:r>
      <w:r w:rsidR="000A7C2D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szkole</w:t>
      </w:r>
      <w:r w:rsidR="004039CA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niowe</w:t>
      </w:r>
      <w:r w:rsidR="00382E71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</w:t>
      </w:r>
      <w:r w:rsidR="0009410E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lub</w:t>
      </w:r>
      <w:r w:rsidR="000A7C2D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dorad</w:t>
      </w:r>
      <w:r w:rsidR="004039CA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cze</w:t>
      </w:r>
      <w:r w:rsidR="000A7C2D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dla </w:t>
      </w:r>
      <w:r w:rsidR="001F05A8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przedsiębiorców</w:t>
      </w:r>
      <w:r w:rsidR="00382E71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</w:t>
      </w:r>
      <w:r w:rsidR="001F05A8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z terenu całej Polski, działających w 7 sektorach (budowlanym, finansowym, IT, motoryzacyjnym, opieki zdrowotnej</w:t>
      </w:r>
      <w:r w:rsidR="0009410E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 i pomocy społecznej</w:t>
      </w:r>
      <w:r w:rsidR="001F05A8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>, przemysłu mody i innowacyjnych tekstyliów, turystycznym)</w:t>
      </w:r>
      <w:r w:rsidR="000A7C2D" w:rsidRPr="00154D4D">
        <w:rPr>
          <w:rFonts w:ascii="Arial" w:eastAsia="Times New Roman" w:hAnsi="Arial" w:cs="Arial"/>
          <w:b/>
          <w:bCs/>
          <w:color w:val="262625"/>
          <w:sz w:val="21"/>
          <w:szCs w:val="21"/>
          <w:lang w:eastAsia="pl-PL"/>
        </w:rPr>
        <w:t xml:space="preserve">. </w:t>
      </w:r>
    </w:p>
    <w:p w:rsidR="00790CDB" w:rsidRPr="00154D4D" w:rsidRDefault="00790CDB" w:rsidP="001F0018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Wnios</w:t>
      </w:r>
      <w:r w:rsidR="00AC26B4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ki 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o dofinansowanie projekt</w:t>
      </w:r>
      <w:r w:rsidR="00AC26B4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ów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 należy </w:t>
      </w:r>
      <w:r w:rsidR="00437A56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przygotować w aplikacji SOWA dostępnej pod adresem </w:t>
      </w:r>
      <w:hyperlink r:id="rId8" w:history="1">
        <w:r w:rsidR="00437A56" w:rsidRPr="00154D4D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www.sowa.efs.gov.pl</w:t>
        </w:r>
      </w:hyperlink>
      <w:r w:rsidR="004039CA" w:rsidRPr="00154D4D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6087B" w:rsidRPr="00154D4D" w:rsidRDefault="0009410E" w:rsidP="00B6087B">
      <w:pPr>
        <w:shd w:val="clear" w:color="auto" w:fill="FFFFFF"/>
        <w:spacing w:after="135" w:line="276" w:lineRule="auto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Konkurs będzie odbywał się w </w:t>
      </w:r>
      <w:r w:rsidR="001D1E98"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IV </w:t>
      </w:r>
      <w:r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rundach: </w:t>
      </w:r>
    </w:p>
    <w:p w:rsidR="009F1DAD" w:rsidRPr="0009410E" w:rsidRDefault="009F1DAD" w:rsidP="00AD692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</w:pPr>
      <w:r w:rsidRPr="0009410E"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  <w:t>I runda konkursowa</w:t>
      </w:r>
      <w:r w:rsidR="00B6087B" w:rsidRPr="0009410E"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  <w:t>:</w:t>
      </w:r>
    </w:p>
    <w:p w:rsidR="0009410E" w:rsidRPr="0009410E" w:rsidRDefault="0009410E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09410E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Nabór wniosków będzie prowadzony w terminie</w:t>
      </w:r>
      <w:r w:rsidR="009F1DAD" w:rsidRPr="0009410E">
        <w:rPr>
          <w:rFonts w:ascii="Arial" w:eastAsia="Times New Roman" w:hAnsi="Arial" w:cs="Arial"/>
          <w:color w:val="262625"/>
          <w:sz w:val="21"/>
          <w:szCs w:val="21"/>
          <w:lang w:eastAsia="pl-PL"/>
        </w:rPr>
        <w:t xml:space="preserve">: </w:t>
      </w:r>
    </w:p>
    <w:p w:rsidR="009F1DAD" w:rsidRDefault="0009410E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</w:pPr>
      <w:r w:rsidRPr="0009410E"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  <w:t>od 31 lipca 2018 r. do 31 sierpnia 2018 r.</w:t>
      </w:r>
      <w:r w:rsidR="001D1E98"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  <w:t xml:space="preserve"> godzina</w:t>
      </w:r>
      <w:r w:rsidR="00B6087B" w:rsidRPr="0009410E"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  <w:t>12:00</w:t>
      </w:r>
    </w:p>
    <w:p w:rsidR="0009410E" w:rsidRPr="0009410E" w:rsidRDefault="0009410E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</w:pPr>
    </w:p>
    <w:p w:rsidR="009F1DAD" w:rsidRPr="00154D4D" w:rsidRDefault="009F1DAD" w:rsidP="00AD692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62625"/>
          <w:sz w:val="21"/>
          <w:szCs w:val="21"/>
          <w:lang w:eastAsia="pl-PL"/>
        </w:rPr>
      </w:pPr>
      <w:r w:rsidRPr="001D1E98"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  <w:t>II runda konkursowa</w:t>
      </w:r>
      <w:r w:rsidRPr="00154D4D">
        <w:rPr>
          <w:rFonts w:ascii="Arial" w:eastAsia="Times New Roman" w:hAnsi="Arial" w:cs="Arial"/>
          <w:b/>
          <w:color w:val="262625"/>
          <w:sz w:val="21"/>
          <w:szCs w:val="21"/>
          <w:vertAlign w:val="superscript"/>
          <w:lang w:eastAsia="pl-PL"/>
        </w:rPr>
        <w:footnoteReference w:id="1"/>
      </w:r>
    </w:p>
    <w:p w:rsidR="009F1DAD" w:rsidRDefault="009F1DAD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Planowany okres składania wniosków:  od 11 lutego do 15 marca 2019 r., godzina 12</w:t>
      </w:r>
      <w:r w:rsidR="00B6087B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: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00</w:t>
      </w:r>
    </w:p>
    <w:p w:rsidR="001D1E98" w:rsidRPr="00154D4D" w:rsidRDefault="001D1E98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</w:p>
    <w:p w:rsidR="009F1DAD" w:rsidRPr="001D1E98" w:rsidRDefault="009F1DAD" w:rsidP="00AD692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</w:pPr>
      <w:r w:rsidRPr="001D1E98"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  <w:t>III runda konkursowa</w:t>
      </w:r>
    </w:p>
    <w:p w:rsidR="009F1DAD" w:rsidRDefault="009F1DAD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Planowany okres składania wniosków:  od 12 sierpnia do 13 września 2019 r., godzina 12</w:t>
      </w:r>
      <w:r w:rsidR="00B6087B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: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00</w:t>
      </w:r>
    </w:p>
    <w:p w:rsidR="001D1E98" w:rsidRPr="00154D4D" w:rsidRDefault="001D1E98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</w:p>
    <w:p w:rsidR="009F1DAD" w:rsidRPr="001D1E98" w:rsidRDefault="009F1DAD" w:rsidP="00AD692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</w:pPr>
      <w:r w:rsidRPr="001D1E98">
        <w:rPr>
          <w:rFonts w:ascii="Arial" w:eastAsia="Times New Roman" w:hAnsi="Arial" w:cs="Arial"/>
          <w:b/>
          <w:color w:val="262625"/>
          <w:sz w:val="21"/>
          <w:szCs w:val="21"/>
          <w:u w:val="single"/>
          <w:lang w:eastAsia="pl-PL"/>
        </w:rPr>
        <w:t>IV runda konkursowa</w:t>
      </w:r>
    </w:p>
    <w:p w:rsidR="009F1DAD" w:rsidRPr="00154D4D" w:rsidRDefault="009F1DAD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Planowany okres składania wniosków:  od 10 sierpnia do 11 września 2020 r., godzina 12</w:t>
      </w:r>
      <w:r w:rsidR="00B6087B"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:</w:t>
      </w:r>
      <w:r w:rsidRPr="00154D4D">
        <w:rPr>
          <w:rFonts w:ascii="Arial" w:eastAsia="Times New Roman" w:hAnsi="Arial" w:cs="Arial"/>
          <w:color w:val="262625"/>
          <w:sz w:val="21"/>
          <w:szCs w:val="21"/>
          <w:lang w:eastAsia="pl-PL"/>
        </w:rPr>
        <w:t>00</w:t>
      </w:r>
    </w:p>
    <w:p w:rsidR="00AD6923" w:rsidRPr="00154D4D" w:rsidRDefault="00AD6923" w:rsidP="00AD6923">
      <w:pPr>
        <w:shd w:val="clear" w:color="auto" w:fill="FFFFFF"/>
        <w:spacing w:after="0" w:line="276" w:lineRule="auto"/>
        <w:ind w:firstLine="426"/>
        <w:jc w:val="center"/>
        <w:rPr>
          <w:rFonts w:ascii="Arial" w:eastAsia="Times New Roman" w:hAnsi="Arial" w:cs="Arial"/>
          <w:color w:val="262625"/>
          <w:sz w:val="21"/>
          <w:szCs w:val="21"/>
          <w:lang w:eastAsia="pl-PL"/>
        </w:rPr>
      </w:pPr>
    </w:p>
    <w:p w:rsidR="009A1682" w:rsidRPr="00154D4D" w:rsidRDefault="009A1682" w:rsidP="009A1682">
      <w:pPr>
        <w:pStyle w:val="Akapitzlist"/>
        <w:shd w:val="clear" w:color="auto" w:fill="FFFFFF"/>
        <w:spacing w:after="135" w:line="270" w:lineRule="atLeast"/>
        <w:ind w:left="0"/>
        <w:jc w:val="both"/>
        <w:rPr>
          <w:rFonts w:ascii="Arial" w:eastAsia="Times New Roman" w:hAnsi="Arial" w:cs="Arial"/>
          <w:b/>
          <w:bCs/>
          <w:color w:val="262625"/>
          <w:lang w:eastAsia="pl-PL"/>
        </w:rPr>
      </w:pPr>
      <w:r w:rsidRPr="009A1682">
        <w:rPr>
          <w:rFonts w:ascii="Arial" w:eastAsia="Times New Roman" w:hAnsi="Arial" w:cs="Arial"/>
          <w:b/>
          <w:bCs/>
          <w:color w:val="262625"/>
          <w:lang w:eastAsia="pl-PL"/>
        </w:rPr>
        <w:t>W ramach każdej rundy konkursowej wybranych do dofinansowania zostanie maksymalnie tyle projektów ile sektorów obejmuje dana runda.  W jednej rundzie konkursowej dofinansowanie może otrzymać maksymalnie jeden projekt dla jednego sektora.</w:t>
      </w:r>
    </w:p>
    <w:p w:rsidR="004039CA" w:rsidRPr="00154D4D" w:rsidRDefault="004039CA" w:rsidP="004039CA">
      <w:pPr>
        <w:shd w:val="clear" w:color="auto" w:fill="FFFFFF"/>
        <w:spacing w:after="135" w:line="276" w:lineRule="auto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Wnioskodawcami mogą być: </w:t>
      </w:r>
    </w:p>
    <w:p w:rsidR="004039CA" w:rsidRPr="00154D4D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>podmioty działające na rzecz zatrudnienia, rozwoju zasobów ludzkich lub potencjału adaptacyjnego przedsiębiorców,</w:t>
      </w:r>
    </w:p>
    <w:p w:rsidR="004039CA" w:rsidRPr="00154D4D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>podmioty działające na rzecz rozwoju gospodarczego,</w:t>
      </w:r>
    </w:p>
    <w:p w:rsidR="004039CA" w:rsidRPr="00154D4D" w:rsidRDefault="004039CA" w:rsidP="004039CA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lastRenderedPageBreak/>
        <w:t>reprezentatywne organizacje związkowe i pracodawców w rozumieniu ustawy z dnia 24 lipca 2015 r. o Radzie Dialogu Społecznego i innych instytucjach dialogu społecznego (Dz. U. z 2015 r. poz. 1240</w:t>
      </w:r>
      <w:r w:rsidR="009A1682">
        <w:rPr>
          <w:rFonts w:ascii="Arial" w:eastAsia="Times New Roman" w:hAnsi="Arial" w:cs="Arial"/>
          <w:color w:val="262625"/>
          <w:lang w:eastAsia="pl-PL"/>
        </w:rPr>
        <w:t xml:space="preserve">, z </w:t>
      </w:r>
      <w:proofErr w:type="spellStart"/>
      <w:r w:rsidR="009A1682">
        <w:rPr>
          <w:rFonts w:ascii="Arial" w:eastAsia="Times New Roman" w:hAnsi="Arial" w:cs="Arial"/>
          <w:color w:val="262625"/>
          <w:lang w:eastAsia="pl-PL"/>
        </w:rPr>
        <w:t>późn</w:t>
      </w:r>
      <w:proofErr w:type="spellEnd"/>
      <w:r w:rsidR="009A1682">
        <w:rPr>
          <w:rFonts w:ascii="Arial" w:eastAsia="Times New Roman" w:hAnsi="Arial" w:cs="Arial"/>
          <w:color w:val="262625"/>
          <w:lang w:eastAsia="pl-PL"/>
        </w:rPr>
        <w:t>. zm.</w:t>
      </w:r>
      <w:r w:rsidRPr="00154D4D">
        <w:rPr>
          <w:rFonts w:ascii="Arial" w:eastAsia="Times New Roman" w:hAnsi="Arial" w:cs="Arial"/>
          <w:color w:val="262625"/>
          <w:lang w:eastAsia="pl-PL"/>
        </w:rPr>
        <w:t>),</w:t>
      </w:r>
    </w:p>
    <w:p w:rsidR="004039CA" w:rsidRPr="00154D4D" w:rsidRDefault="004039CA" w:rsidP="00F449B4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 xml:space="preserve">organizacje pracodawców w rozumieniu ustawy z dnia 23 maja 1991 r. o organizacjach pracodawców (Dz.U. z 2015 r. poz. 2029), </w:t>
      </w:r>
    </w:p>
    <w:p w:rsidR="004039CA" w:rsidRPr="00154D4D" w:rsidRDefault="004039CA" w:rsidP="00F449B4">
      <w:pPr>
        <w:pStyle w:val="Akapitzlist"/>
        <w:numPr>
          <w:ilvl w:val="0"/>
          <w:numId w:val="3"/>
        </w:numPr>
        <w:shd w:val="clear" w:color="auto" w:fill="FFFFFF"/>
        <w:spacing w:after="135" w:line="270" w:lineRule="atLeast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 xml:space="preserve">organizacje samorządu gospodarczego w rozumieniu ustawy z dnia 22 marca 1989 r. </w:t>
      </w:r>
      <w:r w:rsidRPr="00154D4D">
        <w:rPr>
          <w:rFonts w:ascii="Arial" w:eastAsia="Times New Roman" w:hAnsi="Arial" w:cs="Arial"/>
          <w:color w:val="262625"/>
          <w:lang w:eastAsia="pl-PL"/>
        </w:rPr>
        <w:br/>
        <w:t xml:space="preserve">o rzemiośle (Dz.U. z 2016 r. poz. 1285, z </w:t>
      </w:r>
      <w:proofErr w:type="spellStart"/>
      <w:r w:rsidRPr="00154D4D">
        <w:rPr>
          <w:rFonts w:ascii="Arial" w:eastAsia="Times New Roman" w:hAnsi="Arial" w:cs="Arial"/>
          <w:color w:val="262625"/>
          <w:lang w:eastAsia="pl-PL"/>
        </w:rPr>
        <w:t>późn</w:t>
      </w:r>
      <w:proofErr w:type="spellEnd"/>
      <w:r w:rsidRPr="00154D4D">
        <w:rPr>
          <w:rFonts w:ascii="Arial" w:eastAsia="Times New Roman" w:hAnsi="Arial" w:cs="Arial"/>
          <w:color w:val="262625"/>
          <w:lang w:eastAsia="pl-PL"/>
        </w:rPr>
        <w:t>. zm.),</w:t>
      </w:r>
    </w:p>
    <w:p w:rsidR="004039CA" w:rsidRPr="00154D4D" w:rsidRDefault="004039CA" w:rsidP="00F449B4">
      <w:pPr>
        <w:pStyle w:val="Akapitzlist"/>
        <w:numPr>
          <w:ilvl w:val="0"/>
          <w:numId w:val="3"/>
        </w:num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>organizacje związkowe w rozumieniu ustawy z dnia 23 maja 1991 r. o związkach zawodowych (Dz.U. z 2015 r. poz. 1881),</w:t>
      </w:r>
    </w:p>
    <w:p w:rsidR="004039CA" w:rsidRPr="00154D4D" w:rsidRDefault="004039CA" w:rsidP="00F449B4">
      <w:pPr>
        <w:pStyle w:val="Akapitzlist"/>
        <w:numPr>
          <w:ilvl w:val="0"/>
          <w:numId w:val="3"/>
        </w:num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>przedsiębiorcy.</w:t>
      </w:r>
    </w:p>
    <w:p w:rsidR="00CC0509" w:rsidRPr="00154D4D" w:rsidRDefault="00CC0509" w:rsidP="00F449B4">
      <w:pPr>
        <w:pStyle w:val="Akapitzlist"/>
        <w:shd w:val="clear" w:color="auto" w:fill="FFFFFF"/>
        <w:spacing w:after="135" w:line="270" w:lineRule="atLeast"/>
        <w:ind w:left="0"/>
        <w:jc w:val="both"/>
        <w:rPr>
          <w:rFonts w:ascii="Arial" w:eastAsia="Times New Roman" w:hAnsi="Arial" w:cs="Arial"/>
          <w:bCs/>
          <w:color w:val="262625"/>
          <w:lang w:eastAsia="pl-PL"/>
        </w:rPr>
      </w:pPr>
    </w:p>
    <w:p w:rsidR="002B4AE9" w:rsidRPr="00154D4D" w:rsidRDefault="004F7FF9" w:rsidP="00F449B4">
      <w:pPr>
        <w:pStyle w:val="Akapitzlist"/>
        <w:shd w:val="clear" w:color="auto" w:fill="FFFFFF"/>
        <w:spacing w:after="135" w:line="270" w:lineRule="atLeast"/>
        <w:ind w:left="0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Podstawowym zadaniem beneficjentów </w:t>
      </w:r>
      <w:r w:rsidR="005D0D25"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konkursu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„</w:t>
      </w:r>
      <w:r w:rsidR="005D0D25" w:rsidRPr="00154D4D">
        <w:rPr>
          <w:rFonts w:ascii="Arial" w:eastAsia="Times New Roman" w:hAnsi="Arial" w:cs="Arial"/>
          <w:bCs/>
          <w:color w:val="262625"/>
          <w:lang w:eastAsia="pl-PL"/>
        </w:rPr>
        <w:t>Szkol</w:t>
      </w:r>
      <w:r w:rsidR="00F449B4" w:rsidRPr="00154D4D">
        <w:rPr>
          <w:rFonts w:ascii="Arial" w:eastAsia="Times New Roman" w:hAnsi="Arial" w:cs="Arial"/>
          <w:bCs/>
          <w:color w:val="262625"/>
          <w:lang w:eastAsia="pl-PL"/>
        </w:rPr>
        <w:t>enia lub doradztwo wynikające z </w:t>
      </w:r>
      <w:r w:rsidR="005D0D25" w:rsidRPr="00154D4D">
        <w:rPr>
          <w:rFonts w:ascii="Arial" w:eastAsia="Times New Roman" w:hAnsi="Arial" w:cs="Arial"/>
          <w:bCs/>
          <w:color w:val="262625"/>
          <w:lang w:eastAsia="pl-PL"/>
        </w:rPr>
        <w:t>rekomendacji Sektorowych Rad ds. Kompetencji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” będzie udzielanie wsparcia przedsiębiorcom ze środków projektu.</w:t>
      </w:r>
      <w:r w:rsidR="002B4AE9"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 Beneficjent będzie odpowiedzialny za: </w:t>
      </w:r>
    </w:p>
    <w:p w:rsidR="002B4AE9" w:rsidRPr="00BD3FFA" w:rsidRDefault="002B4AE9" w:rsidP="00CA1D4E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BD3FFA">
        <w:rPr>
          <w:rFonts w:ascii="Arial" w:eastAsia="Times New Roman" w:hAnsi="Arial" w:cs="Arial"/>
          <w:bCs/>
          <w:color w:val="262625"/>
          <w:lang w:eastAsia="pl-PL"/>
        </w:rPr>
        <w:t>prowadzenie</w:t>
      </w:r>
      <w:r w:rsidR="000F6B86" w:rsidRPr="00BD3FFA">
        <w:rPr>
          <w:rFonts w:ascii="Arial" w:eastAsia="Times New Roman" w:hAnsi="Arial" w:cs="Arial"/>
          <w:bCs/>
          <w:color w:val="262625"/>
          <w:lang w:eastAsia="pl-PL"/>
        </w:rPr>
        <w:t xml:space="preserve"> kampanii</w:t>
      </w:r>
      <w:r w:rsidR="00FA3BBC" w:rsidRPr="00BD3FFA">
        <w:rPr>
          <w:rFonts w:ascii="Arial" w:eastAsia="Times New Roman" w:hAnsi="Arial" w:cs="Arial"/>
          <w:bCs/>
          <w:color w:val="262625"/>
          <w:lang w:eastAsia="pl-PL"/>
        </w:rPr>
        <w:t xml:space="preserve"> informacyjno-promocyjn</w:t>
      </w:r>
      <w:r w:rsidR="000F6B86" w:rsidRPr="00BD3FFA">
        <w:rPr>
          <w:rFonts w:ascii="Arial" w:eastAsia="Times New Roman" w:hAnsi="Arial" w:cs="Arial"/>
          <w:bCs/>
          <w:color w:val="262625"/>
          <w:lang w:eastAsia="pl-PL"/>
        </w:rPr>
        <w:t>ej</w:t>
      </w:r>
      <w:r w:rsidRPr="00BD3FFA">
        <w:rPr>
          <w:rFonts w:ascii="Arial" w:eastAsia="Times New Roman" w:hAnsi="Arial" w:cs="Arial"/>
          <w:bCs/>
          <w:color w:val="262625"/>
          <w:lang w:eastAsia="pl-PL"/>
        </w:rPr>
        <w:t>, wspierając</w:t>
      </w:r>
      <w:r w:rsidR="000F6B86" w:rsidRPr="00BD3FFA">
        <w:rPr>
          <w:rFonts w:ascii="Arial" w:eastAsia="Times New Roman" w:hAnsi="Arial" w:cs="Arial"/>
          <w:bCs/>
          <w:color w:val="262625"/>
          <w:lang w:eastAsia="pl-PL"/>
        </w:rPr>
        <w:t>ej</w:t>
      </w:r>
      <w:r w:rsidRPr="00BD3FFA">
        <w:rPr>
          <w:rFonts w:ascii="Arial" w:eastAsia="Times New Roman" w:hAnsi="Arial" w:cs="Arial"/>
          <w:bCs/>
          <w:color w:val="262625"/>
          <w:lang w:eastAsia="pl-PL"/>
        </w:rPr>
        <w:t xml:space="preserve"> rekrutację,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rekrutację przedsiębiorców, 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>wsparcie przedsiębiorców i ich pracowników w poruszaniu się po Bazie Usług Rozwojowych</w:t>
      </w:r>
      <w:r w:rsidR="00FA3BBC">
        <w:rPr>
          <w:rFonts w:ascii="Arial" w:eastAsia="Times New Roman" w:hAnsi="Arial" w:cs="Arial"/>
          <w:bCs/>
          <w:color w:val="262625"/>
          <w:lang w:eastAsia="pl-PL"/>
        </w:rPr>
        <w:t xml:space="preserve"> (BUR)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,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wsparcie przedsiębiorców i ich pracowników w możliwości skorzystania </w:t>
      </w:r>
      <w:r w:rsidR="00CA1D4E">
        <w:rPr>
          <w:rFonts w:ascii="Arial" w:eastAsia="Times New Roman" w:hAnsi="Arial" w:cs="Arial"/>
          <w:bCs/>
          <w:color w:val="262625"/>
          <w:lang w:eastAsia="pl-PL"/>
        </w:rPr>
        <w:br/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z usług</w:t>
      </w:r>
      <w:r w:rsidR="00CA1D4E">
        <w:rPr>
          <w:rFonts w:ascii="Arial" w:eastAsia="Times New Roman" w:hAnsi="Arial" w:cs="Arial"/>
          <w:bCs/>
          <w:color w:val="262625"/>
          <w:lang w:eastAsia="pl-PL"/>
        </w:rPr>
        <w:t xml:space="preserve">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rozwojo</w:t>
      </w:r>
      <w:r w:rsidR="0009410E">
        <w:rPr>
          <w:rFonts w:ascii="Arial" w:eastAsia="Times New Roman" w:hAnsi="Arial" w:cs="Arial"/>
          <w:bCs/>
          <w:color w:val="262625"/>
          <w:lang w:eastAsia="pl-PL"/>
        </w:rPr>
        <w:t xml:space="preserve">wych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poza BUR, </w:t>
      </w:r>
    </w:p>
    <w:p w:rsidR="002B4AE9" w:rsidRPr="0009410E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monitorowanie </w:t>
      </w:r>
      <w:r w:rsidR="000F6B86">
        <w:rPr>
          <w:rFonts w:ascii="Arial" w:eastAsia="Times New Roman" w:hAnsi="Arial" w:cs="Arial"/>
          <w:bCs/>
          <w:color w:val="262625"/>
          <w:lang w:eastAsia="pl-PL"/>
        </w:rPr>
        <w:t xml:space="preserve">jakości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realizacji usług </w:t>
      </w:r>
      <w:r w:rsidR="000F6B86">
        <w:rPr>
          <w:rFonts w:ascii="Arial" w:eastAsia="Times New Roman" w:hAnsi="Arial" w:cs="Arial"/>
          <w:bCs/>
          <w:color w:val="262625"/>
          <w:lang w:eastAsia="pl-PL"/>
        </w:rPr>
        <w:t xml:space="preserve">rozwojowych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(min. 5%)</w:t>
      </w:r>
      <w:r w:rsidR="000F6B86">
        <w:rPr>
          <w:rFonts w:ascii="Arial" w:eastAsia="Times New Roman" w:hAnsi="Arial" w:cs="Arial"/>
          <w:bCs/>
          <w:color w:val="262625"/>
          <w:lang w:eastAsia="pl-PL"/>
        </w:rPr>
        <w:t xml:space="preserve"> celem zapobiegania nieprawidłowością</w:t>
      </w:r>
      <w:r w:rsidR="00FA3BBC">
        <w:rPr>
          <w:rFonts w:ascii="Arial" w:eastAsia="Times New Roman" w:hAnsi="Arial" w:cs="Arial"/>
          <w:bCs/>
          <w:color w:val="262625"/>
          <w:lang w:eastAsia="pl-PL"/>
        </w:rPr>
        <w:t xml:space="preserve">. 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Monitorowanie nie będzie dotyczyło usług doradczych.</w:t>
      </w:r>
      <w:r w:rsidRPr="00FA3BB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CA1D4E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FA3BBC">
        <w:rPr>
          <w:rFonts w:ascii="Arial" w:eastAsia="Times New Roman" w:hAnsi="Arial" w:cs="Arial"/>
          <w:bCs/>
          <w:color w:val="000000" w:themeColor="text1"/>
          <w:lang w:eastAsia="pl-PL"/>
        </w:rPr>
        <w:t>W przypadku tych usług monitoring będzie się odbywać na podstawie ich efektów</w:t>
      </w:r>
      <w:r w:rsidR="00CA1D4E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>obowiązki administracyjne związane z dofinansowaniem usługi, w tym:</w:t>
      </w:r>
    </w:p>
    <w:p w:rsidR="002B4AE9" w:rsidRPr="00BD3FFA" w:rsidRDefault="002B4AE9" w:rsidP="00CA1D4E">
      <w:pPr>
        <w:pStyle w:val="Akapitzlist"/>
        <w:numPr>
          <w:ilvl w:val="1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BD3FFA">
        <w:rPr>
          <w:rFonts w:ascii="Arial" w:eastAsia="Times New Roman" w:hAnsi="Arial" w:cs="Arial"/>
          <w:bCs/>
          <w:color w:val="262625"/>
          <w:lang w:eastAsia="pl-PL"/>
        </w:rPr>
        <w:t>obsługę zgłoszeń od przedsiębiorców,</w:t>
      </w:r>
    </w:p>
    <w:p w:rsidR="002B4AE9" w:rsidRPr="00154D4D" w:rsidRDefault="002B4AE9" w:rsidP="00F449B4">
      <w:pPr>
        <w:pStyle w:val="Akapitzlist"/>
        <w:numPr>
          <w:ilvl w:val="1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>weryfikację dokumentów przed udzieleniem wsparcia, w tym weryfikację uprawnień do otrzymania pomocy publicznej, wystawianie zaświadczeń o jej udzieleniu, sprawozdawczość z pomocy publicznej,</w:t>
      </w:r>
    </w:p>
    <w:p w:rsidR="002B4AE9" w:rsidRPr="00154D4D" w:rsidRDefault="002B4AE9" w:rsidP="00F449B4">
      <w:pPr>
        <w:pStyle w:val="Akapitzlist"/>
        <w:numPr>
          <w:ilvl w:val="1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>podpisywanie umów wsparcia,</w:t>
      </w:r>
    </w:p>
    <w:p w:rsidR="002B4AE9" w:rsidRPr="00154D4D" w:rsidRDefault="002B4AE9" w:rsidP="00F449B4">
      <w:pPr>
        <w:pStyle w:val="Akapitzlist"/>
        <w:numPr>
          <w:ilvl w:val="1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>rozliczanie umów wsparcia – zarówno finansowe jak i merytoryczne, w tym monitorowanie poprawności zgłoszeń i zapisów, ocen usług rozwojowych, kompletności danych w BUR,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rozliczanie projektu z PARP oraz przygotowywanie raportów i podsumowań </w:t>
      </w:r>
      <w:r w:rsidR="00CA1D4E">
        <w:rPr>
          <w:rFonts w:ascii="Arial" w:eastAsia="Times New Roman" w:hAnsi="Arial" w:cs="Arial"/>
          <w:bCs/>
          <w:color w:val="262625"/>
          <w:lang w:eastAsia="pl-PL"/>
        </w:rPr>
        <w:br/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>z postępów projektu,</w:t>
      </w:r>
    </w:p>
    <w:p w:rsidR="002B4AE9" w:rsidRPr="00154D4D" w:rsidRDefault="002B4AE9" w:rsidP="00F449B4">
      <w:pPr>
        <w:pStyle w:val="Akapitzlist"/>
        <w:numPr>
          <w:ilvl w:val="0"/>
          <w:numId w:val="20"/>
        </w:num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czynny udział w spotkaniach Komitetu Sterującego i Branżowego i stosowanie się do ustaleń wynikających z tych spotkań. </w:t>
      </w:r>
    </w:p>
    <w:p w:rsidR="00163662" w:rsidRPr="00154D4D" w:rsidRDefault="004F7FF9" w:rsidP="00F449B4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Działania w projekcie zostały szczegółowo opisane w </w:t>
      </w:r>
      <w:r w:rsidR="0099096F" w:rsidRPr="00154D4D">
        <w:rPr>
          <w:rFonts w:ascii="Arial" w:eastAsia="Times New Roman" w:hAnsi="Arial" w:cs="Arial"/>
          <w:bCs/>
          <w:color w:val="262625"/>
          <w:lang w:eastAsia="pl-PL"/>
        </w:rPr>
        <w:t>Regulaminie konkursu</w:t>
      </w:r>
      <w:r w:rsidRPr="00154D4D">
        <w:rPr>
          <w:rFonts w:ascii="Arial" w:eastAsia="Times New Roman" w:hAnsi="Arial" w:cs="Arial"/>
          <w:bCs/>
          <w:color w:val="262625"/>
          <w:lang w:eastAsia="pl-PL"/>
        </w:rPr>
        <w:t xml:space="preserve">. </w:t>
      </w:r>
    </w:p>
    <w:p w:rsidR="00790CDB" w:rsidRPr="00154D4D" w:rsidRDefault="00163662" w:rsidP="00F449B4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 xml:space="preserve">Wnioski można </w:t>
      </w:r>
      <w:r w:rsidR="00BD1C18" w:rsidRPr="00154D4D">
        <w:rPr>
          <w:rFonts w:ascii="Arial" w:eastAsia="Times New Roman" w:hAnsi="Arial" w:cs="Arial"/>
          <w:color w:val="262625"/>
          <w:lang w:eastAsia="pl-PL"/>
        </w:rPr>
        <w:t xml:space="preserve">składać wspólnie z partnerami, </w:t>
      </w:r>
      <w:r w:rsidRPr="00154D4D">
        <w:rPr>
          <w:rFonts w:ascii="Arial" w:eastAsia="Times New Roman" w:hAnsi="Arial" w:cs="Arial"/>
          <w:color w:val="262625"/>
          <w:lang w:eastAsia="pl-PL"/>
        </w:rPr>
        <w:t>wnosząc</w:t>
      </w:r>
      <w:r w:rsidR="00BD1C18" w:rsidRPr="00154D4D">
        <w:rPr>
          <w:rFonts w:ascii="Arial" w:eastAsia="Times New Roman" w:hAnsi="Arial" w:cs="Arial"/>
          <w:color w:val="262625"/>
          <w:lang w:eastAsia="pl-PL"/>
        </w:rPr>
        <w:t>ymi</w:t>
      </w:r>
      <w:r w:rsidRPr="00154D4D">
        <w:rPr>
          <w:rFonts w:ascii="Arial" w:eastAsia="Times New Roman" w:hAnsi="Arial" w:cs="Arial"/>
          <w:color w:val="262625"/>
          <w:lang w:eastAsia="pl-PL"/>
        </w:rPr>
        <w:t xml:space="preserve"> do projektu zasoby ludzkie, organizacyjne, techniczne lub finansowe. Partnerami nie mogą być podmioty powiązane </w:t>
      </w:r>
      <w:r w:rsidR="00CA1D4E">
        <w:rPr>
          <w:rFonts w:ascii="Arial" w:eastAsia="Times New Roman" w:hAnsi="Arial" w:cs="Arial"/>
          <w:color w:val="262625"/>
          <w:lang w:eastAsia="pl-PL"/>
        </w:rPr>
        <w:br/>
      </w:r>
      <w:r w:rsidRPr="00154D4D">
        <w:rPr>
          <w:rFonts w:ascii="Arial" w:eastAsia="Times New Roman" w:hAnsi="Arial" w:cs="Arial"/>
          <w:color w:val="262625"/>
          <w:lang w:eastAsia="pl-PL"/>
        </w:rPr>
        <w:t>w rozumieniu załącznika I do rozporządzenia KE nr 651/2014.</w:t>
      </w:r>
    </w:p>
    <w:p w:rsidR="00F449B4" w:rsidRPr="00154D4D" w:rsidRDefault="00F449B4" w:rsidP="00F449B4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/>
          <w:bCs/>
          <w:color w:val="262625"/>
          <w:lang w:eastAsia="pl-PL"/>
        </w:rPr>
      </w:pPr>
      <w:r w:rsidRPr="00154D4D">
        <w:rPr>
          <w:rFonts w:ascii="Arial" w:eastAsia="Times New Roman" w:hAnsi="Arial" w:cs="Arial"/>
          <w:b/>
          <w:bCs/>
          <w:color w:val="262625"/>
          <w:lang w:eastAsia="pl-PL"/>
        </w:rPr>
        <w:t xml:space="preserve">Beneficjent oraz Partnerzy (jeśli dotyczy) realizujący projekt dla danego sektora </w:t>
      </w:r>
      <w:r w:rsidR="00CA1D4E">
        <w:rPr>
          <w:rFonts w:ascii="Arial" w:eastAsia="Times New Roman" w:hAnsi="Arial" w:cs="Arial"/>
          <w:b/>
          <w:bCs/>
          <w:color w:val="262625"/>
          <w:lang w:eastAsia="pl-PL"/>
        </w:rPr>
        <w:br/>
      </w:r>
      <w:r w:rsidRPr="00154D4D">
        <w:rPr>
          <w:rFonts w:ascii="Arial" w:eastAsia="Times New Roman" w:hAnsi="Arial" w:cs="Arial"/>
          <w:b/>
          <w:bCs/>
          <w:color w:val="262625"/>
          <w:lang w:eastAsia="pl-PL"/>
        </w:rPr>
        <w:t>w danej rundzie konkursowej nie mogą świadczyć usług rozwojowych na rzecz przedsiębiorców z tego sektora.</w:t>
      </w:r>
    </w:p>
    <w:p w:rsidR="00297E56" w:rsidRPr="00154D4D" w:rsidRDefault="00297E56" w:rsidP="00F449B4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 xml:space="preserve">Sposób uzupełniania braków formalnych i oczywistych omyłek został przedstawiony </w:t>
      </w:r>
      <w:r w:rsidR="00CA1D4E">
        <w:rPr>
          <w:rFonts w:ascii="Arial" w:eastAsia="Times New Roman" w:hAnsi="Arial" w:cs="Arial"/>
          <w:color w:val="262625"/>
          <w:lang w:eastAsia="pl-PL"/>
        </w:rPr>
        <w:br/>
      </w:r>
      <w:r w:rsidRPr="00154D4D">
        <w:rPr>
          <w:rFonts w:ascii="Arial" w:eastAsia="Times New Roman" w:hAnsi="Arial" w:cs="Arial"/>
          <w:color w:val="262625"/>
          <w:lang w:eastAsia="pl-PL"/>
        </w:rPr>
        <w:t xml:space="preserve">w Regulaminie konkursu. </w:t>
      </w:r>
    </w:p>
    <w:p w:rsidR="00224731" w:rsidRPr="00154D4D" w:rsidRDefault="00BB520E" w:rsidP="00F449B4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54D4D">
        <w:rPr>
          <w:rFonts w:ascii="Arial" w:eastAsia="Times New Roman" w:hAnsi="Arial" w:cs="Arial"/>
          <w:b/>
          <w:bCs/>
          <w:lang w:eastAsia="pl-PL"/>
        </w:rPr>
        <w:t xml:space="preserve">Dostępna w konkursie alokacja wynosi </w:t>
      </w:r>
      <w:r w:rsidR="0099096F" w:rsidRPr="00154D4D">
        <w:rPr>
          <w:rFonts w:ascii="Arial" w:eastAsia="Times New Roman" w:hAnsi="Arial" w:cs="Arial"/>
          <w:b/>
          <w:bCs/>
          <w:lang w:eastAsia="pl-PL"/>
        </w:rPr>
        <w:t>5</w:t>
      </w:r>
      <w:r w:rsidR="002B4AE9" w:rsidRPr="00154D4D">
        <w:rPr>
          <w:rFonts w:ascii="Arial" w:eastAsia="Times New Roman" w:hAnsi="Arial" w:cs="Arial"/>
          <w:b/>
          <w:bCs/>
          <w:lang w:eastAsia="pl-PL"/>
        </w:rPr>
        <w:t>0 700 000</w:t>
      </w:r>
      <w:r w:rsidR="0099096F" w:rsidRPr="00154D4D">
        <w:rPr>
          <w:rFonts w:ascii="Arial" w:eastAsia="Times New Roman" w:hAnsi="Arial" w:cs="Arial"/>
          <w:b/>
          <w:bCs/>
          <w:lang w:eastAsia="pl-PL"/>
        </w:rPr>
        <w:t>,00</w:t>
      </w:r>
      <w:r w:rsidRPr="00154D4D">
        <w:rPr>
          <w:rFonts w:ascii="Arial" w:eastAsia="Times New Roman" w:hAnsi="Arial" w:cs="Arial"/>
          <w:b/>
          <w:bCs/>
          <w:lang w:eastAsia="pl-PL"/>
        </w:rPr>
        <w:t xml:space="preserve"> zł, w tym maksymalna kwota dofinansowania projekt</w:t>
      </w:r>
      <w:r w:rsidR="007B62A9" w:rsidRPr="00154D4D">
        <w:rPr>
          <w:rFonts w:ascii="Arial" w:eastAsia="Times New Roman" w:hAnsi="Arial" w:cs="Arial"/>
          <w:b/>
          <w:bCs/>
          <w:lang w:eastAsia="pl-PL"/>
        </w:rPr>
        <w:t>ów</w:t>
      </w:r>
      <w:r w:rsidRPr="00154D4D">
        <w:rPr>
          <w:rFonts w:ascii="Arial" w:eastAsia="Times New Roman" w:hAnsi="Arial" w:cs="Arial"/>
          <w:b/>
          <w:bCs/>
          <w:lang w:eastAsia="pl-PL"/>
        </w:rPr>
        <w:t xml:space="preserve"> wynosi </w:t>
      </w:r>
      <w:r w:rsidR="002B4AE9" w:rsidRPr="00154D4D">
        <w:rPr>
          <w:rFonts w:ascii="Arial" w:eastAsia="Times New Roman" w:hAnsi="Arial" w:cs="Arial"/>
          <w:b/>
          <w:bCs/>
          <w:lang w:eastAsia="pl-PL"/>
        </w:rPr>
        <w:t>45 630 000</w:t>
      </w:r>
      <w:r w:rsidR="0099096F" w:rsidRPr="00154D4D">
        <w:rPr>
          <w:rFonts w:ascii="Arial" w:eastAsia="Times New Roman" w:hAnsi="Arial" w:cs="Arial"/>
          <w:b/>
          <w:bCs/>
          <w:lang w:eastAsia="pl-PL"/>
        </w:rPr>
        <w:t>,00</w:t>
      </w:r>
      <w:r w:rsidRPr="00154D4D">
        <w:rPr>
          <w:rFonts w:ascii="Arial" w:eastAsia="Times New Roman" w:hAnsi="Arial" w:cs="Arial"/>
          <w:b/>
          <w:bCs/>
          <w:lang w:eastAsia="pl-PL"/>
        </w:rPr>
        <w:t xml:space="preserve"> zł </w:t>
      </w:r>
      <w:r w:rsidR="00353420" w:rsidRPr="00154D4D">
        <w:rPr>
          <w:rFonts w:ascii="Arial" w:eastAsia="Times New Roman" w:hAnsi="Arial" w:cs="Arial"/>
          <w:b/>
          <w:bCs/>
          <w:lang w:eastAsia="pl-PL"/>
        </w:rPr>
        <w:t xml:space="preserve">(co stanowi </w:t>
      </w:r>
      <w:r w:rsidR="00F03501" w:rsidRPr="00154D4D">
        <w:rPr>
          <w:rFonts w:ascii="Arial" w:eastAsia="Times New Roman" w:hAnsi="Arial" w:cs="Arial"/>
          <w:b/>
          <w:lang w:eastAsia="pl-PL"/>
        </w:rPr>
        <w:t>9</w:t>
      </w:r>
      <w:r w:rsidR="00224731" w:rsidRPr="00154D4D">
        <w:rPr>
          <w:rFonts w:ascii="Arial" w:eastAsia="Times New Roman" w:hAnsi="Arial" w:cs="Arial"/>
          <w:b/>
          <w:lang w:eastAsia="pl-PL"/>
        </w:rPr>
        <w:t>0% wartości wydatków kwalifikowalnych projektu</w:t>
      </w:r>
      <w:r w:rsidR="00353420" w:rsidRPr="00154D4D">
        <w:rPr>
          <w:rFonts w:ascii="Arial" w:eastAsia="Times New Roman" w:hAnsi="Arial" w:cs="Arial"/>
          <w:b/>
          <w:lang w:eastAsia="pl-PL"/>
        </w:rPr>
        <w:t>)</w:t>
      </w:r>
      <w:r w:rsidR="00224731" w:rsidRPr="00154D4D">
        <w:rPr>
          <w:rFonts w:ascii="Arial" w:eastAsia="Times New Roman" w:hAnsi="Arial" w:cs="Arial"/>
          <w:b/>
          <w:lang w:eastAsia="pl-PL"/>
        </w:rPr>
        <w:t xml:space="preserve">. </w:t>
      </w:r>
    </w:p>
    <w:p w:rsidR="0099096F" w:rsidRPr="00154D4D" w:rsidRDefault="0099096F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lang w:eastAsia="pl-PL"/>
        </w:rPr>
      </w:pPr>
      <w:r w:rsidRPr="00154D4D">
        <w:rPr>
          <w:rFonts w:ascii="Arial" w:eastAsia="Times New Roman" w:hAnsi="Arial" w:cs="Arial"/>
          <w:lang w:eastAsia="pl-PL"/>
        </w:rPr>
        <w:lastRenderedPageBreak/>
        <w:t>Alokacja i maksymaln</w:t>
      </w:r>
      <w:r w:rsidR="00E812F7">
        <w:rPr>
          <w:rFonts w:ascii="Arial" w:eastAsia="Times New Roman" w:hAnsi="Arial" w:cs="Arial"/>
          <w:lang w:eastAsia="pl-PL"/>
        </w:rPr>
        <w:t>e</w:t>
      </w:r>
      <w:r w:rsidRPr="00154D4D">
        <w:rPr>
          <w:rFonts w:ascii="Arial" w:eastAsia="Times New Roman" w:hAnsi="Arial" w:cs="Arial"/>
          <w:lang w:eastAsia="pl-PL"/>
        </w:rPr>
        <w:t xml:space="preserve"> kwot</w:t>
      </w:r>
      <w:r w:rsidR="00E812F7">
        <w:rPr>
          <w:rFonts w:ascii="Arial" w:eastAsia="Times New Roman" w:hAnsi="Arial" w:cs="Arial"/>
          <w:lang w:eastAsia="pl-PL"/>
        </w:rPr>
        <w:t>y</w:t>
      </w:r>
      <w:r w:rsidRPr="00154D4D">
        <w:rPr>
          <w:rFonts w:ascii="Arial" w:eastAsia="Times New Roman" w:hAnsi="Arial" w:cs="Arial"/>
          <w:lang w:eastAsia="pl-PL"/>
        </w:rPr>
        <w:t xml:space="preserve"> dofinansowania </w:t>
      </w:r>
      <w:r w:rsidR="00E812F7">
        <w:rPr>
          <w:rFonts w:ascii="Arial" w:eastAsia="Times New Roman" w:hAnsi="Arial" w:cs="Arial"/>
          <w:lang w:eastAsia="pl-PL"/>
        </w:rPr>
        <w:t xml:space="preserve">projektów </w:t>
      </w:r>
      <w:r w:rsidRPr="00154D4D">
        <w:rPr>
          <w:rFonts w:ascii="Arial" w:eastAsia="Times New Roman" w:hAnsi="Arial" w:cs="Arial"/>
          <w:lang w:eastAsia="pl-PL"/>
        </w:rPr>
        <w:t xml:space="preserve">w podziale na </w:t>
      </w:r>
      <w:r w:rsidR="00262F15" w:rsidRPr="00154D4D">
        <w:rPr>
          <w:rFonts w:ascii="Arial" w:eastAsia="Times New Roman" w:hAnsi="Arial" w:cs="Arial"/>
          <w:lang w:eastAsia="pl-PL"/>
        </w:rPr>
        <w:t>sektory</w:t>
      </w:r>
      <w:r w:rsidRPr="00154D4D">
        <w:rPr>
          <w:rFonts w:ascii="Arial" w:eastAsia="Times New Roman" w:hAnsi="Arial" w:cs="Arial"/>
          <w:lang w:eastAsia="pl-PL"/>
        </w:rPr>
        <w:t xml:space="preserve"> wygląda</w:t>
      </w:r>
      <w:r w:rsidR="00E812F7">
        <w:rPr>
          <w:rFonts w:ascii="Arial" w:eastAsia="Times New Roman" w:hAnsi="Arial" w:cs="Arial"/>
          <w:lang w:eastAsia="pl-PL"/>
        </w:rPr>
        <w:t>ją</w:t>
      </w:r>
      <w:r w:rsidRPr="00154D4D">
        <w:rPr>
          <w:rFonts w:ascii="Arial" w:eastAsia="Times New Roman" w:hAnsi="Arial" w:cs="Arial"/>
          <w:lang w:eastAsia="pl-PL"/>
        </w:rPr>
        <w:t xml:space="preserve"> następująco:</w:t>
      </w:r>
    </w:p>
    <w:p w:rsidR="00F449B4" w:rsidRPr="00154D4D" w:rsidRDefault="00F449B4" w:rsidP="00AD6923">
      <w:pPr>
        <w:keepNext/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lang w:eastAsia="pl-PL"/>
        </w:rPr>
      </w:pPr>
      <w:r w:rsidRPr="00154D4D">
        <w:rPr>
          <w:rFonts w:ascii="Arial" w:eastAsia="Times New Roman" w:hAnsi="Arial" w:cs="Arial"/>
          <w:lang w:eastAsia="pl-PL"/>
        </w:rPr>
        <w:t>1. W całym konkursie:</w:t>
      </w:r>
    </w:p>
    <w:tbl>
      <w:tblPr>
        <w:tblStyle w:val="Tabela-Siatka2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35"/>
      </w:tblGrid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62F15">
              <w:rPr>
                <w:rFonts w:ascii="Arial" w:eastAsia="Calibri" w:hAnsi="Arial" w:cs="Arial"/>
                <w:b/>
                <w:sz w:val="24"/>
              </w:rPr>
              <w:t>Lp.</w:t>
            </w:r>
          </w:p>
        </w:tc>
        <w:tc>
          <w:tcPr>
            <w:tcW w:w="2835" w:type="dxa"/>
          </w:tcPr>
          <w:p w:rsidR="00262F15" w:rsidRPr="00262F15" w:rsidRDefault="00262F15" w:rsidP="00F449B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62F15">
              <w:rPr>
                <w:rFonts w:ascii="Arial" w:eastAsia="Calibri" w:hAnsi="Arial" w:cs="Arial"/>
                <w:b/>
                <w:sz w:val="24"/>
              </w:rPr>
              <w:t>Projekty dotyczące sektora</w:t>
            </w:r>
          </w:p>
        </w:tc>
        <w:tc>
          <w:tcPr>
            <w:tcW w:w="2693" w:type="dxa"/>
          </w:tcPr>
          <w:p w:rsidR="00262F15" w:rsidRPr="00262F15" w:rsidRDefault="00F449B4" w:rsidP="00F449B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54D4D">
              <w:rPr>
                <w:rFonts w:ascii="Arial" w:eastAsia="Calibri" w:hAnsi="Arial" w:cs="Arial"/>
                <w:b/>
                <w:sz w:val="24"/>
              </w:rPr>
              <w:t>M</w:t>
            </w:r>
            <w:r w:rsidR="00262F15" w:rsidRPr="00262F15">
              <w:rPr>
                <w:rFonts w:ascii="Arial" w:eastAsia="Calibri" w:hAnsi="Arial" w:cs="Arial"/>
                <w:b/>
                <w:sz w:val="24"/>
              </w:rPr>
              <w:t>aksymalna wartość projektów w konkursie</w:t>
            </w:r>
            <w:r w:rsidR="00262F15" w:rsidRPr="00154D4D">
              <w:rPr>
                <w:rFonts w:ascii="Arial" w:eastAsia="Calibri" w:hAnsi="Arial" w:cs="Arial"/>
                <w:b/>
                <w:sz w:val="24"/>
                <w:vertAlign w:val="superscript"/>
              </w:rPr>
              <w:footnoteReference w:id="2"/>
            </w:r>
          </w:p>
        </w:tc>
        <w:tc>
          <w:tcPr>
            <w:tcW w:w="2835" w:type="dxa"/>
          </w:tcPr>
          <w:p w:rsidR="00262F15" w:rsidRPr="00262F15" w:rsidRDefault="00F449B4" w:rsidP="00F449B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54D4D">
              <w:rPr>
                <w:rFonts w:ascii="Arial" w:eastAsia="Calibri" w:hAnsi="Arial" w:cs="Arial"/>
                <w:b/>
                <w:sz w:val="24"/>
              </w:rPr>
              <w:t>M</w:t>
            </w:r>
            <w:r w:rsidR="00262F15" w:rsidRPr="00262F15">
              <w:rPr>
                <w:rFonts w:ascii="Arial" w:eastAsia="Calibri" w:hAnsi="Arial" w:cs="Arial"/>
                <w:b/>
                <w:sz w:val="24"/>
              </w:rPr>
              <w:t>aksymalna</w:t>
            </w:r>
            <w:r w:rsidRPr="00154D4D">
              <w:rPr>
                <w:rFonts w:ascii="Arial" w:eastAsia="Calibri" w:hAnsi="Arial" w:cs="Arial"/>
                <w:b/>
                <w:sz w:val="24"/>
              </w:rPr>
              <w:t xml:space="preserve"> wartość dofinansowania projekt</w:t>
            </w:r>
            <w:r w:rsidR="00262F15" w:rsidRPr="00262F15">
              <w:rPr>
                <w:rFonts w:ascii="Arial" w:eastAsia="Calibri" w:hAnsi="Arial" w:cs="Arial"/>
                <w:b/>
                <w:sz w:val="24"/>
              </w:rPr>
              <w:t>ów w konkursie</w:t>
            </w:r>
          </w:p>
        </w:tc>
      </w:tr>
      <w:tr w:rsidR="00262F15" w:rsidRPr="00262F15" w:rsidTr="00262F15">
        <w:trPr>
          <w:trHeight w:val="294"/>
        </w:trPr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budowlany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7 480 000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6 732 000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finansowy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7 480 000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6 732 000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IT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6 650 000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5 985 000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motoryzacyjny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7 480 000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6 732 000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5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opieka zdrowotna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7 480 000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6 732 000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przemysł mody i innowacyjnych tekstyliów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6 650 000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5 985 000 zł</w:t>
            </w:r>
          </w:p>
        </w:tc>
      </w:tr>
      <w:tr w:rsidR="00262F15" w:rsidRPr="00262F15" w:rsidTr="00262F15">
        <w:tc>
          <w:tcPr>
            <w:tcW w:w="709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turystyczny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7 480 000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262F15">
              <w:rPr>
                <w:rFonts w:ascii="Arial" w:eastAsia="Calibri" w:hAnsi="Arial" w:cs="Arial"/>
                <w:sz w:val="24"/>
              </w:rPr>
              <w:t>6 732 000 zł</w:t>
            </w:r>
          </w:p>
        </w:tc>
      </w:tr>
      <w:tr w:rsidR="00262F15" w:rsidRPr="00262F15" w:rsidTr="00262F15">
        <w:tc>
          <w:tcPr>
            <w:tcW w:w="3544" w:type="dxa"/>
            <w:gridSpan w:val="2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</w:rPr>
            </w:pPr>
            <w:r w:rsidRPr="00262F15">
              <w:rPr>
                <w:rFonts w:ascii="Arial" w:eastAsia="Calibri" w:hAnsi="Arial" w:cs="Arial"/>
                <w:b/>
                <w:sz w:val="24"/>
              </w:rPr>
              <w:t>RAZEM:</w:t>
            </w:r>
          </w:p>
        </w:tc>
        <w:tc>
          <w:tcPr>
            <w:tcW w:w="2693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62F15">
              <w:rPr>
                <w:rFonts w:ascii="Arial" w:eastAsia="Calibri" w:hAnsi="Arial" w:cs="Arial"/>
                <w:b/>
                <w:sz w:val="24"/>
              </w:rPr>
              <w:t>50 700 000 zł</w:t>
            </w:r>
          </w:p>
        </w:tc>
        <w:tc>
          <w:tcPr>
            <w:tcW w:w="2835" w:type="dxa"/>
          </w:tcPr>
          <w:p w:rsidR="00262F15" w:rsidRPr="00262F15" w:rsidRDefault="00262F15" w:rsidP="00262F1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62F15">
              <w:rPr>
                <w:rFonts w:ascii="Arial" w:eastAsia="Calibri" w:hAnsi="Arial" w:cs="Arial"/>
                <w:b/>
                <w:sz w:val="24"/>
              </w:rPr>
              <w:t>45 630 000 zł</w:t>
            </w:r>
          </w:p>
        </w:tc>
      </w:tr>
    </w:tbl>
    <w:p w:rsidR="00F449B4" w:rsidRPr="00154D4D" w:rsidRDefault="00F449B4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lang w:eastAsia="pl-PL"/>
        </w:rPr>
      </w:pPr>
    </w:p>
    <w:p w:rsidR="00BD3FFA" w:rsidRPr="00BD3FFA" w:rsidRDefault="00F449B4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lang w:eastAsia="pl-PL"/>
        </w:rPr>
      </w:pPr>
      <w:r w:rsidRPr="00154D4D">
        <w:rPr>
          <w:rFonts w:ascii="Arial" w:eastAsia="Times New Roman" w:hAnsi="Arial" w:cs="Arial"/>
          <w:lang w:eastAsia="pl-PL"/>
        </w:rPr>
        <w:t>2. W I rundzie konkursowej</w:t>
      </w:r>
      <w:r w:rsidR="000F6B86">
        <w:rPr>
          <w:rStyle w:val="Odwoanieprzypisudolnego"/>
          <w:rFonts w:ascii="Arial" w:eastAsia="Times New Roman" w:hAnsi="Arial" w:cs="Arial"/>
          <w:lang w:eastAsia="pl-PL"/>
        </w:rPr>
        <w:footnoteReference w:id="3"/>
      </w:r>
      <w:r w:rsidRPr="00154D4D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35"/>
      </w:tblGrid>
      <w:tr w:rsidR="00BD3FFA" w:rsidRPr="00BD3FFA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Lp.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Projekt dotyczący</w:t>
            </w:r>
          </w:p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sektora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Maksymalna wartość projektu w I rundzie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Maksymalna wartość dofinansowania projektu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BD3FFA">
              <w:rPr>
                <w:rFonts w:ascii="Arial" w:eastAsia="Calibri" w:hAnsi="Arial" w:cs="Arial"/>
                <w:b/>
                <w:sz w:val="24"/>
              </w:rPr>
              <w:t>w I rundzie</w:t>
            </w:r>
          </w:p>
        </w:tc>
      </w:tr>
      <w:tr w:rsidR="00BD3FFA" w:rsidRPr="00924161" w:rsidTr="00BD3FFA">
        <w:trPr>
          <w:trHeight w:val="294"/>
        </w:trPr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budowlany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2 160 000 zł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1 944 000 zł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finansowy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2 400 000 zł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2 160 000 zł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IT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motoryzacyjny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5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opieka zdrowotna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6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przemysł mody i innowacyjnych tekstyliów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-</w:t>
            </w:r>
          </w:p>
        </w:tc>
      </w:tr>
      <w:tr w:rsidR="00BD3FFA" w:rsidRPr="00924161" w:rsidTr="00BD3FFA">
        <w:tc>
          <w:tcPr>
            <w:tcW w:w="709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7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turystyczny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3 168 000 zł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4"/>
              </w:rPr>
            </w:pPr>
            <w:r w:rsidRPr="00BD3FFA">
              <w:rPr>
                <w:rFonts w:ascii="Arial" w:eastAsia="Calibri" w:hAnsi="Arial" w:cs="Arial"/>
                <w:sz w:val="24"/>
              </w:rPr>
              <w:t>2 851 200 zł</w:t>
            </w:r>
          </w:p>
        </w:tc>
      </w:tr>
      <w:tr w:rsidR="00BD3FFA" w:rsidRPr="00BD3FFA" w:rsidTr="00BD3FFA">
        <w:tc>
          <w:tcPr>
            <w:tcW w:w="3544" w:type="dxa"/>
            <w:gridSpan w:val="2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RAZEM:</w:t>
            </w:r>
          </w:p>
        </w:tc>
        <w:tc>
          <w:tcPr>
            <w:tcW w:w="2693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7 728 000 zł</w:t>
            </w:r>
          </w:p>
        </w:tc>
        <w:tc>
          <w:tcPr>
            <w:tcW w:w="2835" w:type="dxa"/>
          </w:tcPr>
          <w:p w:rsidR="00BD3FFA" w:rsidRPr="00BD3FFA" w:rsidRDefault="00BD3FFA" w:rsidP="00BD3FFA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BD3FFA">
              <w:rPr>
                <w:rFonts w:ascii="Arial" w:eastAsia="Calibri" w:hAnsi="Arial" w:cs="Arial"/>
                <w:b/>
                <w:sz w:val="24"/>
              </w:rPr>
              <w:t>6 955 200 zł</w:t>
            </w:r>
          </w:p>
        </w:tc>
      </w:tr>
    </w:tbl>
    <w:p w:rsidR="00BD3FFA" w:rsidRPr="00154D4D" w:rsidRDefault="00BD3FFA" w:rsidP="00BB520E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012F" w:rsidRPr="00154D4D" w:rsidRDefault="009B012F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4D4D">
        <w:rPr>
          <w:rFonts w:ascii="Arial" w:eastAsia="Times New Roman" w:hAnsi="Arial" w:cs="Arial"/>
          <w:b/>
          <w:bCs/>
          <w:lang w:eastAsia="pl-PL"/>
        </w:rPr>
        <w:t>Wnioskodawca zobowiązany jest do zapewnie</w:t>
      </w:r>
      <w:r w:rsidR="001F0018" w:rsidRPr="00154D4D">
        <w:rPr>
          <w:rFonts w:ascii="Arial" w:eastAsia="Times New Roman" w:hAnsi="Arial" w:cs="Arial"/>
          <w:b/>
          <w:bCs/>
          <w:lang w:eastAsia="pl-PL"/>
        </w:rPr>
        <w:t xml:space="preserve">nia wkładu własnego w wysokości, </w:t>
      </w:r>
      <w:r w:rsidR="00353420" w:rsidRPr="00154D4D">
        <w:rPr>
          <w:rFonts w:ascii="Arial" w:eastAsia="Times New Roman" w:hAnsi="Arial" w:cs="Arial"/>
          <w:b/>
          <w:bCs/>
          <w:lang w:eastAsia="pl-PL"/>
        </w:rPr>
        <w:br/>
      </w:r>
      <w:r w:rsidRPr="00154D4D">
        <w:rPr>
          <w:rFonts w:ascii="Arial" w:eastAsia="Times New Roman" w:hAnsi="Arial" w:cs="Arial"/>
          <w:b/>
          <w:bCs/>
          <w:lang w:eastAsia="pl-PL"/>
        </w:rPr>
        <w:t>co najmniej 10</w:t>
      </w:r>
      <w:r w:rsidR="00F03501" w:rsidRPr="00154D4D">
        <w:rPr>
          <w:rFonts w:ascii="Arial" w:eastAsia="Times New Roman" w:hAnsi="Arial" w:cs="Arial"/>
          <w:b/>
          <w:bCs/>
          <w:lang w:eastAsia="pl-PL"/>
        </w:rPr>
        <w:t>,00</w:t>
      </w:r>
      <w:r w:rsidRPr="00154D4D">
        <w:rPr>
          <w:rFonts w:ascii="Arial" w:eastAsia="Times New Roman" w:hAnsi="Arial" w:cs="Arial"/>
          <w:b/>
          <w:bCs/>
          <w:lang w:eastAsia="pl-PL"/>
        </w:rPr>
        <w:t xml:space="preserve">% wartości wydatków kwalifikowanych projektu. </w:t>
      </w:r>
      <w:r w:rsidR="0099096F" w:rsidRPr="00154D4D">
        <w:rPr>
          <w:rFonts w:ascii="Arial" w:eastAsia="Times New Roman" w:hAnsi="Arial" w:cs="Arial"/>
          <w:b/>
          <w:bCs/>
          <w:lang w:eastAsia="pl-PL"/>
        </w:rPr>
        <w:t xml:space="preserve">Wkład własny może pochodzić od przedsiębiorców korzystających </w:t>
      </w:r>
      <w:r w:rsidR="001D1E98">
        <w:rPr>
          <w:rFonts w:ascii="Arial" w:eastAsia="Times New Roman" w:hAnsi="Arial" w:cs="Arial"/>
          <w:b/>
          <w:bCs/>
          <w:lang w:eastAsia="pl-PL"/>
        </w:rPr>
        <w:t xml:space="preserve">ze szkoleń lub doradztwa w projekcie, który zgodnie </w:t>
      </w:r>
      <w:r w:rsidR="0099096F" w:rsidRPr="00154D4D">
        <w:rPr>
          <w:rFonts w:ascii="Arial" w:eastAsia="Times New Roman" w:hAnsi="Arial" w:cs="Arial"/>
          <w:b/>
          <w:bCs/>
          <w:lang w:eastAsia="pl-PL"/>
        </w:rPr>
        <w:t>z przepisaminie może być mniejszy niż 20% otrzymanego przez przedsiębiorcę wsparcia.</w:t>
      </w:r>
    </w:p>
    <w:p w:rsidR="00790CDB" w:rsidRPr="00154D4D" w:rsidRDefault="00790CDB" w:rsidP="001F0018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lastRenderedPageBreak/>
        <w:t>Pytania można przesyłać za pośrednictwem</w:t>
      </w:r>
      <w:r w:rsidRPr="00154D4D">
        <w:rPr>
          <w:rFonts w:ascii="Arial" w:eastAsia="Times New Roman" w:hAnsi="Arial" w:cs="Arial"/>
          <w:color w:val="00A097"/>
          <w:lang w:eastAsia="pl-PL"/>
        </w:rPr>
        <w:t> formularza kontaktowego</w:t>
      </w:r>
      <w:r w:rsidRPr="00154D4D">
        <w:rPr>
          <w:rFonts w:ascii="Arial" w:eastAsia="Times New Roman" w:hAnsi="Arial" w:cs="Arial"/>
          <w:color w:val="262625"/>
          <w:lang w:eastAsia="pl-PL"/>
        </w:rPr>
        <w:t> dostępnego na stronie internetowej PARP w zakładce Centrum Pomocy lub na adres poczty elektronicznej: </w:t>
      </w:r>
      <w:hyperlink r:id="rId9" w:history="1">
        <w:r w:rsidRPr="00154D4D">
          <w:rPr>
            <w:rFonts w:ascii="Arial" w:eastAsia="Times New Roman" w:hAnsi="Arial" w:cs="Arial"/>
            <w:color w:val="00A097"/>
            <w:lang w:eastAsia="pl-PL"/>
          </w:rPr>
          <w:t>info@parp.gov.pl</w:t>
        </w:r>
      </w:hyperlink>
      <w:r w:rsidRPr="00154D4D">
        <w:rPr>
          <w:rFonts w:ascii="Arial" w:eastAsia="Times New Roman" w:hAnsi="Arial" w:cs="Arial"/>
          <w:color w:val="262625"/>
          <w:lang w:eastAsia="pl-PL"/>
        </w:rPr>
        <w:t> oraz</w:t>
      </w:r>
      <w:r w:rsidR="00353420" w:rsidRPr="00154D4D">
        <w:rPr>
          <w:rFonts w:ascii="Arial" w:eastAsia="Times New Roman" w:hAnsi="Arial" w:cs="Arial"/>
          <w:color w:val="262625"/>
          <w:lang w:eastAsia="pl-PL"/>
        </w:rPr>
        <w:t xml:space="preserve"> zgłaszać</w:t>
      </w:r>
      <w:r w:rsidRPr="00154D4D">
        <w:rPr>
          <w:rFonts w:ascii="Arial" w:eastAsia="Times New Roman" w:hAnsi="Arial" w:cs="Arial"/>
          <w:color w:val="262625"/>
          <w:lang w:eastAsia="pl-PL"/>
        </w:rPr>
        <w:t xml:space="preserve"> telefonic</w:t>
      </w:r>
      <w:r w:rsidR="00E413E2" w:rsidRPr="00154D4D">
        <w:rPr>
          <w:rFonts w:ascii="Arial" w:eastAsia="Times New Roman" w:hAnsi="Arial" w:cs="Arial"/>
          <w:color w:val="262625"/>
          <w:lang w:eastAsia="pl-PL"/>
        </w:rPr>
        <w:t>znie pod numerami 22 432 89 91 do</w:t>
      </w:r>
      <w:r w:rsidRPr="00154D4D">
        <w:rPr>
          <w:rFonts w:ascii="Arial" w:eastAsia="Times New Roman" w:hAnsi="Arial" w:cs="Arial"/>
          <w:color w:val="262625"/>
          <w:lang w:eastAsia="pl-PL"/>
        </w:rPr>
        <w:t xml:space="preserve"> 93.</w:t>
      </w:r>
    </w:p>
    <w:p w:rsidR="003102B5" w:rsidRDefault="00790CDB" w:rsidP="007B2664">
      <w:pPr>
        <w:shd w:val="clear" w:color="auto" w:fill="FFFFFF"/>
        <w:spacing w:after="135" w:line="276" w:lineRule="auto"/>
        <w:jc w:val="both"/>
        <w:rPr>
          <w:rFonts w:ascii="Arial" w:eastAsia="Times New Roman" w:hAnsi="Arial" w:cs="Arial"/>
          <w:color w:val="262625"/>
          <w:lang w:eastAsia="pl-PL"/>
        </w:rPr>
      </w:pPr>
      <w:r w:rsidRPr="00154D4D">
        <w:rPr>
          <w:rFonts w:ascii="Arial" w:eastAsia="Times New Roman" w:hAnsi="Arial" w:cs="Arial"/>
          <w:color w:val="262625"/>
          <w:lang w:eastAsia="pl-PL"/>
        </w:rPr>
        <w:t xml:space="preserve">Regulamin konkursu </w:t>
      </w:r>
      <w:r w:rsidR="007C7631" w:rsidRPr="00154D4D">
        <w:rPr>
          <w:rFonts w:ascii="Arial" w:eastAsia="Times New Roman" w:hAnsi="Arial" w:cs="Arial"/>
          <w:color w:val="262625"/>
          <w:lang w:eastAsia="pl-PL"/>
        </w:rPr>
        <w:t>dostępny jest na stronach internetowych PARP pod adresem:</w:t>
      </w:r>
      <w:r w:rsidR="0064683E">
        <w:rPr>
          <w:rFonts w:ascii="Arial" w:eastAsia="Times New Roman" w:hAnsi="Arial" w:cs="Arial"/>
          <w:color w:val="262625"/>
          <w:lang w:eastAsia="pl-PL"/>
        </w:rPr>
        <w:t xml:space="preserve"> </w:t>
      </w:r>
      <w:hyperlink r:id="rId10" w:history="1">
        <w:r w:rsidR="003102B5" w:rsidRPr="00F33EB2">
          <w:rPr>
            <w:rStyle w:val="Hipercze"/>
            <w:rFonts w:ascii="Arial" w:eastAsia="Times New Roman" w:hAnsi="Arial" w:cs="Arial"/>
            <w:lang w:eastAsia="pl-PL"/>
          </w:rPr>
          <w:t>http://power.parp.g</w:t>
        </w:r>
        <w:bookmarkStart w:id="0" w:name="_GoBack"/>
        <w:bookmarkEnd w:id="0"/>
        <w:r w:rsidR="003102B5" w:rsidRPr="00F33EB2">
          <w:rPr>
            <w:rStyle w:val="Hipercze"/>
            <w:rFonts w:ascii="Arial" w:eastAsia="Times New Roman" w:hAnsi="Arial" w:cs="Arial"/>
            <w:lang w:eastAsia="pl-PL"/>
          </w:rPr>
          <w:t>o</w:t>
        </w:r>
        <w:r w:rsidR="003102B5" w:rsidRPr="00F33EB2">
          <w:rPr>
            <w:rStyle w:val="Hipercze"/>
            <w:rFonts w:ascii="Arial" w:eastAsia="Times New Roman" w:hAnsi="Arial" w:cs="Arial"/>
            <w:lang w:eastAsia="pl-PL"/>
          </w:rPr>
          <w:t>v.pl/szkolenia-lub-doradztwo</w:t>
        </w:r>
      </w:hyperlink>
    </w:p>
    <w:p w:rsidR="00950A97" w:rsidRPr="00154D4D" w:rsidRDefault="00916909" w:rsidP="007B2664">
      <w:pPr>
        <w:shd w:val="clear" w:color="auto" w:fill="FFFFFF"/>
        <w:spacing w:after="135" w:line="276" w:lineRule="auto"/>
        <w:jc w:val="both"/>
        <w:rPr>
          <w:rFonts w:ascii="Arial" w:hAnsi="Arial" w:cs="Arial"/>
        </w:rPr>
      </w:pPr>
    </w:p>
    <w:sectPr w:rsidR="00950A97" w:rsidRPr="00154D4D" w:rsidSect="00AD69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A0" w:rsidRDefault="008870A0" w:rsidP="00163662">
      <w:pPr>
        <w:spacing w:after="0" w:line="240" w:lineRule="auto"/>
      </w:pPr>
      <w:r>
        <w:separator/>
      </w:r>
    </w:p>
  </w:endnote>
  <w:endnote w:type="continuationSeparator" w:id="0">
    <w:p w:rsidR="008870A0" w:rsidRDefault="008870A0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A0" w:rsidRDefault="008870A0" w:rsidP="00163662">
      <w:pPr>
        <w:spacing w:after="0" w:line="240" w:lineRule="auto"/>
      </w:pPr>
      <w:r>
        <w:separator/>
      </w:r>
    </w:p>
  </w:footnote>
  <w:footnote w:type="continuationSeparator" w:id="0">
    <w:p w:rsidR="008870A0" w:rsidRDefault="008870A0" w:rsidP="00163662">
      <w:pPr>
        <w:spacing w:after="0" w:line="240" w:lineRule="auto"/>
      </w:pPr>
      <w:r>
        <w:continuationSeparator/>
      </w:r>
    </w:p>
  </w:footnote>
  <w:footnote w:id="1">
    <w:p w:rsidR="009F1DAD" w:rsidRDefault="009F1DAD" w:rsidP="009F1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Rundy</w:t>
      </w:r>
      <w:r w:rsidR="00CA1D4E">
        <w:t xml:space="preserve"> </w:t>
      </w:r>
      <w:r>
        <w:t xml:space="preserve">konkursowe </w:t>
      </w:r>
      <w:r w:rsidRPr="00074E14">
        <w:t>będą ogłaszane pod warunkiem opracowania kolejnych rekomendacji przez Sektorowe Rady ds. Kompetencji, które będą umieszczane na stronie internetowej związanej z konkursem.</w:t>
      </w:r>
    </w:p>
  </w:footnote>
  <w:footnote w:id="2">
    <w:p w:rsidR="00262F15" w:rsidRDefault="00262F15" w:rsidP="00262F15">
      <w:pPr>
        <w:pStyle w:val="Tekstprzypisudolnego"/>
        <w:jc w:val="both"/>
      </w:pPr>
      <w:r>
        <w:rPr>
          <w:rStyle w:val="Odwoanieprzypisudolnego"/>
        </w:rPr>
        <w:footnoteRef/>
      </w:r>
      <w:r w:rsidRPr="000B7BE8">
        <w:t>Na maksymalną wartość projektu składają się: maksymalna wartość dofinansowania i wkład własny beneficjenta, który zapewniany będzie obowiązkowo przez przedsiębiorstwa uczestniczące w projekcie</w:t>
      </w:r>
      <w:r>
        <w:t xml:space="preserve">. </w:t>
      </w:r>
    </w:p>
  </w:footnote>
  <w:footnote w:id="3">
    <w:p w:rsidR="000F6B86" w:rsidRDefault="000F6B86">
      <w:pPr>
        <w:pStyle w:val="Tekstprzypisudolnego"/>
      </w:pPr>
      <w:r>
        <w:rPr>
          <w:rStyle w:val="Odwoanieprzypisudolnego"/>
        </w:rPr>
        <w:footnoteRef/>
      </w:r>
      <w:r w:rsidRPr="000F6B86">
        <w:t xml:space="preserve">Tabela </w:t>
      </w:r>
      <w:r w:rsidR="00BD3FFA" w:rsidRPr="00BD3FFA">
        <w:t>może ulec zmianie np. jeżeli kolejne Sektorowe Rady ds. Kompetencji przedstawią rekomendacje.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70FEC"/>
    <w:rsid w:val="0009410E"/>
    <w:rsid w:val="000A7C2D"/>
    <w:rsid w:val="000B14CD"/>
    <w:rsid w:val="000C47C2"/>
    <w:rsid w:val="000F6B86"/>
    <w:rsid w:val="00154D4D"/>
    <w:rsid w:val="00163662"/>
    <w:rsid w:val="001D0640"/>
    <w:rsid w:val="001D1E98"/>
    <w:rsid w:val="001F0018"/>
    <w:rsid w:val="001F05A8"/>
    <w:rsid w:val="00224731"/>
    <w:rsid w:val="00250B5D"/>
    <w:rsid w:val="00262F15"/>
    <w:rsid w:val="00274CDE"/>
    <w:rsid w:val="00277408"/>
    <w:rsid w:val="00297E56"/>
    <w:rsid w:val="002B4AE9"/>
    <w:rsid w:val="002E34DA"/>
    <w:rsid w:val="003102B5"/>
    <w:rsid w:val="00330386"/>
    <w:rsid w:val="00353420"/>
    <w:rsid w:val="00382E71"/>
    <w:rsid w:val="00382F7C"/>
    <w:rsid w:val="004039CA"/>
    <w:rsid w:val="00425A06"/>
    <w:rsid w:val="00426B93"/>
    <w:rsid w:val="00435A3D"/>
    <w:rsid w:val="00437A56"/>
    <w:rsid w:val="004F5C62"/>
    <w:rsid w:val="004F7FF9"/>
    <w:rsid w:val="00500C78"/>
    <w:rsid w:val="00537D33"/>
    <w:rsid w:val="00543D71"/>
    <w:rsid w:val="005B2C04"/>
    <w:rsid w:val="005D0D25"/>
    <w:rsid w:val="00605C14"/>
    <w:rsid w:val="0062256C"/>
    <w:rsid w:val="0064683E"/>
    <w:rsid w:val="006A2135"/>
    <w:rsid w:val="006B6F8F"/>
    <w:rsid w:val="006E17FD"/>
    <w:rsid w:val="00790CDB"/>
    <w:rsid w:val="007B2664"/>
    <w:rsid w:val="007B62A9"/>
    <w:rsid w:val="007C7631"/>
    <w:rsid w:val="00834545"/>
    <w:rsid w:val="0085224E"/>
    <w:rsid w:val="00854F8F"/>
    <w:rsid w:val="008870A0"/>
    <w:rsid w:val="00932530"/>
    <w:rsid w:val="0099096F"/>
    <w:rsid w:val="009A1682"/>
    <w:rsid w:val="009B012F"/>
    <w:rsid w:val="009F1DAD"/>
    <w:rsid w:val="00A617E5"/>
    <w:rsid w:val="00A6198A"/>
    <w:rsid w:val="00A6286F"/>
    <w:rsid w:val="00A62E53"/>
    <w:rsid w:val="00A6301D"/>
    <w:rsid w:val="00A85DD2"/>
    <w:rsid w:val="00A86702"/>
    <w:rsid w:val="00AA0567"/>
    <w:rsid w:val="00AB2F7D"/>
    <w:rsid w:val="00AC26B4"/>
    <w:rsid w:val="00AD6923"/>
    <w:rsid w:val="00B6087B"/>
    <w:rsid w:val="00B8403D"/>
    <w:rsid w:val="00BB1B21"/>
    <w:rsid w:val="00BB520E"/>
    <w:rsid w:val="00BD1C18"/>
    <w:rsid w:val="00BD3FFA"/>
    <w:rsid w:val="00C5265F"/>
    <w:rsid w:val="00CA1D4E"/>
    <w:rsid w:val="00CC0509"/>
    <w:rsid w:val="00CD1150"/>
    <w:rsid w:val="00CD5813"/>
    <w:rsid w:val="00D02B54"/>
    <w:rsid w:val="00D13AA3"/>
    <w:rsid w:val="00D31835"/>
    <w:rsid w:val="00D44432"/>
    <w:rsid w:val="00DC2AB9"/>
    <w:rsid w:val="00E413E2"/>
    <w:rsid w:val="00E812F7"/>
    <w:rsid w:val="00E85552"/>
    <w:rsid w:val="00E909DF"/>
    <w:rsid w:val="00EF3F12"/>
    <w:rsid w:val="00EF5B6B"/>
    <w:rsid w:val="00F03501"/>
    <w:rsid w:val="00F449B4"/>
    <w:rsid w:val="00FA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wer.parp.gov.pl/szkolenia-lub-doradztw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CBF2-C750-4FC4-8D47-0EBE4CC4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Daniel</dc:creator>
  <cp:keywords/>
  <dc:description/>
  <cp:lastModifiedBy>Michorowska  Beata</cp:lastModifiedBy>
  <cp:revision>5</cp:revision>
  <cp:lastPrinted>2017-03-31T08:46:00Z</cp:lastPrinted>
  <dcterms:created xsi:type="dcterms:W3CDTF">2018-06-25T07:50:00Z</dcterms:created>
  <dcterms:modified xsi:type="dcterms:W3CDTF">2018-06-28T11:46:00Z</dcterms:modified>
</cp:coreProperties>
</file>